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2-2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湖南城陵矶新港区财政支出</w:t>
      </w: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绩效评价自评报告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评价类型：项目实施过程评价□　项目完成结果评价□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项目名称：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公交线路运营补贴经费</w:t>
      </w:r>
      <w:r>
        <w:rPr>
          <w:rFonts w:ascii="仿宋_GB2312" w:eastAsia="仿宋_GB2312"/>
          <w:sz w:val="36"/>
          <w:szCs w:val="36"/>
          <w:u w:val="single"/>
        </w:rPr>
        <w:t xml:space="preserve">               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项目单位：</w:t>
      </w:r>
      <w:r>
        <w:rPr>
          <w:rFonts w:hint="eastAsia" w:ascii="仿宋_GB2312" w:eastAsia="仿宋_GB2312"/>
          <w:sz w:val="36"/>
          <w:szCs w:val="36"/>
          <w:u w:val="single"/>
        </w:rPr>
        <w:t>湖南城陵矶新港区管理委员会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社会发展</w:t>
      </w:r>
      <w:r>
        <w:rPr>
          <w:rFonts w:hint="eastAsia" w:ascii="仿宋_GB2312" w:eastAsia="仿宋_GB2312"/>
          <w:sz w:val="36"/>
          <w:szCs w:val="36"/>
          <w:u w:val="single"/>
        </w:rPr>
        <w:t>部</w:t>
      </w:r>
      <w:r>
        <w:rPr>
          <w:rFonts w:ascii="仿宋_GB2312" w:eastAsia="仿宋_GB2312"/>
          <w:sz w:val="36"/>
          <w:szCs w:val="36"/>
          <w:u w:val="single"/>
        </w:rPr>
        <w:t xml:space="preserve">   </w:t>
      </w: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主管部门：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        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评价方式：部门（单位）绩效自评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评价机构：部门（单位）评价组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报告日期：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2022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19</w:t>
      </w:r>
      <w:r>
        <w:rPr>
          <w:rFonts w:hint="eastAsia" w:ascii="仿宋_GB2312" w:eastAsia="仿宋_GB2312"/>
          <w:sz w:val="36"/>
          <w:szCs w:val="36"/>
        </w:rPr>
        <w:t>日</w:t>
      </w:r>
    </w:p>
    <w:tbl>
      <w:tblPr>
        <w:tblStyle w:val="6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6"/>
        <w:gridCol w:w="32"/>
        <w:gridCol w:w="693"/>
        <w:gridCol w:w="25"/>
        <w:gridCol w:w="1410"/>
        <w:gridCol w:w="360"/>
        <w:gridCol w:w="756"/>
        <w:gridCol w:w="757"/>
        <w:gridCol w:w="567"/>
        <w:gridCol w:w="513"/>
        <w:gridCol w:w="857"/>
        <w:gridCol w:w="148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概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范晓峰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8422207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24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新港区通关服务中心</w:t>
            </w:r>
          </w:p>
        </w:tc>
        <w:tc>
          <w:tcPr>
            <w:tcW w:w="2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57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41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ind w:firstLine="1190" w:firstLineChars="49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月起至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2021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其中：中央财政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公交线路运营补贴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2-33#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4-6#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7#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12#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15#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36#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46#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5-2#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11#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20#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6-1#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5#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17#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7-3#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7#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19#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46#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8-1#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8#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14#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15#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29#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9-8#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16#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17#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20#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26#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10-4#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7#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公交线路运营补贴</w:t>
            </w:r>
          </w:p>
        </w:tc>
        <w:tc>
          <w:tcPr>
            <w:tcW w:w="17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11-8#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13#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20#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支出合计：</w:t>
            </w:r>
          </w:p>
        </w:tc>
        <w:tc>
          <w:tcPr>
            <w:tcW w:w="179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　</w:t>
            </w:r>
          </w:p>
        </w:tc>
        <w:tc>
          <w:tcPr>
            <w:tcW w:w="25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2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25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公交线路运营补贴包干费用80万元，保障12路、52路、61路公交线路正常运行，便捷区内工作人员公共出行。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val="en-US" w:eastAsia="zh-CN"/>
              </w:rPr>
              <w:t>补贴指标包干80万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金额根据文件发放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补贴人员数量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不超编超岗发放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4"/>
              </w:rPr>
              <w:t>对社会发展可能造成的负面影响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无负面影响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对自然生态环境可能造成的负面影响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无负面影响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补贴覆盖率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补贴发放时间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年底前发放到位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反向促进经济发展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经济水平得以保持稳定并有所上升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补贴人群生活改善情况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补贴人群生活得到改善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生态环境改善情况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实现可持续发展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服务对象满意度指标</w:t>
            </w: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绩效自评综合得分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评价等次</w:t>
            </w:r>
          </w:p>
        </w:tc>
        <w:tc>
          <w:tcPr>
            <w:tcW w:w="742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  卫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党工委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  <w:lang w:val="en-US" w:eastAsia="zh-CN"/>
              </w:rPr>
              <w:t>委员、管委会副主任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刘伟平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社会发展部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彭小明</w:t>
            </w:r>
          </w:p>
        </w:tc>
        <w:tc>
          <w:tcPr>
            <w:tcW w:w="327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社会发展部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副部长</w:t>
            </w:r>
          </w:p>
        </w:tc>
        <w:tc>
          <w:tcPr>
            <w:tcW w:w="183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湖南城陵矶新港区管理委员会</w:t>
            </w:r>
          </w:p>
        </w:tc>
        <w:tc>
          <w:tcPr>
            <w:tcW w:w="30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评价组组长（签字）：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项目单位负责人（签章）：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主管部门负责人（签章）：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96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财政部门归口业务科室意见：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财政部门归口业务科室负责人（签章）：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　　　　　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ind w:firstLine="2880" w:firstLineChars="900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五、评价报告综述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年是岳阳市全面实施预算绩效管理“扩面提质”推进年。按照《湖南省预算绩效目标管理办法》、《岳阳市财政局关于做好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年度预算绩效目标编审工作的通知》（岳财预〔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〕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159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号）要求，现对我单位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统计员工作奖励资金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支出使用管理的绩效情况，开展了绩效自评工作，现将情况汇报如下：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57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一、项目概况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项目单位基本情况。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新港区管委会为全额拨款事业单位，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社会发展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部现有人数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人，其中在编人员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人，内设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综合发展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科、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社会管理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科，主要职能是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负责拟订新港区产业发展政策并组织实施；负责新港区全社会固定资产投资管理工作；负责新港区统计、工信、综治、信访等工作；负责入驻企业的立项、劳动用工管理等工作；负责协调文化、教育、卫健等工作，牵头开展失地农民社会保障体系建设和劳动就业工作；负责立项争资工作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562" w:firstLineChars="20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二、项目资金使用及管理情况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、项目资金到位情况。截止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日，我单位收到财政拨入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公交线路运营补贴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经费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、项目资金实际使用情况分析。我单位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2021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年公交线路运营补贴实际支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</w:rPr>
              <w:t>出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万元，按进度完成目标管理任务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5"/>
              <w:widowControl w:val="0"/>
              <w:spacing w:before="0" w:beforeAutospacing="0" w:after="0" w:afterAutospacing="0"/>
              <w:ind w:firstLine="48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、项目资金管理情况分析。严格落实项目资金管理办法，严格审批流程，对所有的项目执行情况，由经手人、财务、分管科室副部长、部门负责人、分管领导共同把关，确保资金管理到位，使用安全。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三、项目组织实施情况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、项目管理情况分析。项目推进过程中，定期对服务项目开展督查，严格按时间进度进行评价，并作为考核合作单位的依据。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及时调研区内企业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的满意度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，提高监督的广度和密度。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四、项目主要绩效情况分析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根据自评绩效评分细则，我部严格执行预算管理、防止各种违反财经纪律的行为、保障重点、量入为出、收支平衡的原则，提高了资金使用效益，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公交线路运营补贴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资金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在项目绩效考核评价中自评合格率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100%,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优良率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98%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以上。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hint="default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自开通新港区至中心城区公交线路，12路、52路、61路公交线路极大的便利了新港区企业及附近群众的出行，有力的促进了社会的和谐与稳定，为新港区高质量跨越式发展做出贡献。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  <w:t>　　五、主要经验及做法，存在问题和建议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、主要经验。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积极协调公交集团，用好公交线路补贴，推动新港区公交运营的完善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、存在问题。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群众反映公交线路发车时间间距过长，线路覆盖不全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，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需协调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改进。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eastAsia="楷体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　</w:t>
            </w:r>
            <w:r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、建议。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进一步对接公交公司，就我区公交线路存在的问题及时沟通协调，不断完善我区的公交运营体系</w:t>
            </w: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。</w:t>
            </w:r>
          </w:p>
        </w:tc>
      </w:tr>
    </w:tbl>
    <w:p>
      <w:pPr>
        <w:rPr>
          <w:sz w:val="24"/>
          <w:szCs w:val="24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体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98.5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sz w:val="24"/>
          <w:szCs w:val="24"/>
        </w:rPr>
      </w:pPr>
      <w:r>
        <w:rPr>
          <w:rFonts w:hint="eastAsia" w:ascii="仿宋_GB2312" w:eastAsia="仿宋_GB2312"/>
        </w:rPr>
        <w:t>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- 2 -</w:t>
    </w:r>
    <w:r>
      <w:rPr>
        <w:rStyle w:val="8"/>
        <w:rFonts w:ascii="Times New Roman" w:hAnsi="Times New Roman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33444"/>
    <w:multiLevelType w:val="multilevel"/>
    <w:tmpl w:val="57B33444"/>
    <w:lvl w:ilvl="0" w:tentative="0">
      <w:start w:val="1"/>
      <w:numFmt w:val="decimal"/>
      <w:lvlText w:val="第%1部分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第%2章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第%3节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4.%5."/>
      <w:lvlJc w:val="left"/>
      <w:pPr>
        <w:tabs>
          <w:tab w:val="left" w:pos="0"/>
        </w:tabs>
        <w:ind w:left="0" w:firstLine="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</w:rPr>
    </w:lvl>
    <w:lvl w:ilvl="5" w:tentative="0">
      <w:start w:val="1"/>
      <w:numFmt w:val="decimal"/>
      <w:pStyle w:val="2"/>
      <w:lvlText w:val="%4.%5.%6."/>
      <w:lvlJc w:val="left"/>
      <w:pPr>
        <w:tabs>
          <w:tab w:val="left" w:pos="0"/>
        </w:tabs>
        <w:ind w:left="0" w:firstLine="0"/>
      </w:pPr>
      <w:rPr>
        <w:rFonts w:hint="eastAsia"/>
        <w:sz w:val="32"/>
        <w:szCs w:val="32"/>
      </w:rPr>
    </w:lvl>
    <w:lvl w:ilvl="6" w:tentative="0">
      <w:start w:val="1"/>
      <w:numFmt w:val="decimal"/>
      <w:lvlText w:val="%4.%5.%6.%7."/>
      <w:lvlJc w:val="left"/>
      <w:pPr>
        <w:tabs>
          <w:tab w:val="left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</w:rPr>
    </w:lvl>
    <w:lvl w:ilvl="7" w:tentative="0">
      <w:start w:val="1"/>
      <w:numFmt w:val="decimal"/>
      <w:lvlText w:val="%4.%5.%6.%7.%8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4.%5.%6.%7.%8.%9.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jY5MGQzMWE2YjVmNWVjNDhmOTZhNzBkYzI3NzUifQ=="/>
  </w:docVars>
  <w:rsids>
    <w:rsidRoot w:val="004F42DE"/>
    <w:rsid w:val="000C5801"/>
    <w:rsid w:val="000C66C7"/>
    <w:rsid w:val="000F69A2"/>
    <w:rsid w:val="00135B8F"/>
    <w:rsid w:val="00154F58"/>
    <w:rsid w:val="001C04FA"/>
    <w:rsid w:val="001C0E05"/>
    <w:rsid w:val="00247A0E"/>
    <w:rsid w:val="002559D6"/>
    <w:rsid w:val="00270556"/>
    <w:rsid w:val="00283AEA"/>
    <w:rsid w:val="002D2660"/>
    <w:rsid w:val="002F2FD6"/>
    <w:rsid w:val="00375B27"/>
    <w:rsid w:val="00375E42"/>
    <w:rsid w:val="0038627D"/>
    <w:rsid w:val="0040600D"/>
    <w:rsid w:val="00450528"/>
    <w:rsid w:val="00486D39"/>
    <w:rsid w:val="004B34F4"/>
    <w:rsid w:val="004D7D22"/>
    <w:rsid w:val="004F1167"/>
    <w:rsid w:val="004F42DE"/>
    <w:rsid w:val="00503565"/>
    <w:rsid w:val="0059607F"/>
    <w:rsid w:val="005A6FA5"/>
    <w:rsid w:val="005A7333"/>
    <w:rsid w:val="005B3BFE"/>
    <w:rsid w:val="006847C7"/>
    <w:rsid w:val="0069584D"/>
    <w:rsid w:val="006F248F"/>
    <w:rsid w:val="007D2B75"/>
    <w:rsid w:val="00822137"/>
    <w:rsid w:val="00933EA4"/>
    <w:rsid w:val="00A429CE"/>
    <w:rsid w:val="00AA0B20"/>
    <w:rsid w:val="00AB6FC4"/>
    <w:rsid w:val="00AC0DC4"/>
    <w:rsid w:val="00B508AD"/>
    <w:rsid w:val="00B534F7"/>
    <w:rsid w:val="00B6578E"/>
    <w:rsid w:val="00BC5993"/>
    <w:rsid w:val="00C32DA5"/>
    <w:rsid w:val="00D14F77"/>
    <w:rsid w:val="00D43B0B"/>
    <w:rsid w:val="00D45B3F"/>
    <w:rsid w:val="00DA144E"/>
    <w:rsid w:val="00DE0584"/>
    <w:rsid w:val="00E52C2E"/>
    <w:rsid w:val="00E739EA"/>
    <w:rsid w:val="00EB19AC"/>
    <w:rsid w:val="00F16605"/>
    <w:rsid w:val="00F52F3D"/>
    <w:rsid w:val="00FA5937"/>
    <w:rsid w:val="00FC326A"/>
    <w:rsid w:val="00FF73B9"/>
    <w:rsid w:val="036363D4"/>
    <w:rsid w:val="04CB0242"/>
    <w:rsid w:val="04CD2A56"/>
    <w:rsid w:val="060A48A4"/>
    <w:rsid w:val="09C76877"/>
    <w:rsid w:val="0BC8771C"/>
    <w:rsid w:val="0C030A27"/>
    <w:rsid w:val="0CC06645"/>
    <w:rsid w:val="0FDC4C78"/>
    <w:rsid w:val="102F0049"/>
    <w:rsid w:val="1245607F"/>
    <w:rsid w:val="13EC5F71"/>
    <w:rsid w:val="13F800AC"/>
    <w:rsid w:val="19510D51"/>
    <w:rsid w:val="1D5C5F16"/>
    <w:rsid w:val="1DB47B00"/>
    <w:rsid w:val="1FAA11BB"/>
    <w:rsid w:val="203E1903"/>
    <w:rsid w:val="25F50CB6"/>
    <w:rsid w:val="27677991"/>
    <w:rsid w:val="28AD3ACA"/>
    <w:rsid w:val="2B0D6AA1"/>
    <w:rsid w:val="2B5B42BE"/>
    <w:rsid w:val="2C424518"/>
    <w:rsid w:val="2CF471CC"/>
    <w:rsid w:val="2ED6525E"/>
    <w:rsid w:val="32D479DC"/>
    <w:rsid w:val="33093FF2"/>
    <w:rsid w:val="3848736B"/>
    <w:rsid w:val="3E2E0DB1"/>
    <w:rsid w:val="3E6A4CD6"/>
    <w:rsid w:val="40112738"/>
    <w:rsid w:val="41831414"/>
    <w:rsid w:val="43923B90"/>
    <w:rsid w:val="48346226"/>
    <w:rsid w:val="48B14AB8"/>
    <w:rsid w:val="4C100075"/>
    <w:rsid w:val="4C83676C"/>
    <w:rsid w:val="50C14560"/>
    <w:rsid w:val="53C9436A"/>
    <w:rsid w:val="56186177"/>
    <w:rsid w:val="59EA7E2A"/>
    <w:rsid w:val="5A36306F"/>
    <w:rsid w:val="5B7B6042"/>
    <w:rsid w:val="5B98015F"/>
    <w:rsid w:val="5C1E200D"/>
    <w:rsid w:val="5D972077"/>
    <w:rsid w:val="617D243D"/>
    <w:rsid w:val="625D01DC"/>
    <w:rsid w:val="62D41677"/>
    <w:rsid w:val="64905D94"/>
    <w:rsid w:val="65120C35"/>
    <w:rsid w:val="668B029F"/>
    <w:rsid w:val="67B11F87"/>
    <w:rsid w:val="687E630D"/>
    <w:rsid w:val="69A952EE"/>
    <w:rsid w:val="6A150899"/>
    <w:rsid w:val="6B4F16C1"/>
    <w:rsid w:val="6CF81A67"/>
    <w:rsid w:val="6DFF6B5A"/>
    <w:rsid w:val="6FAF1BB9"/>
    <w:rsid w:val="704F5041"/>
    <w:rsid w:val="72B56DCF"/>
    <w:rsid w:val="73C3551C"/>
    <w:rsid w:val="75A37A4B"/>
    <w:rsid w:val="77334767"/>
    <w:rsid w:val="7AD87AFF"/>
    <w:rsid w:val="7D382AD7"/>
    <w:rsid w:val="7F4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locked/>
    <w:uiPriority w:val="9"/>
    <w:pPr>
      <w:numPr>
        <w:ilvl w:val="5"/>
        <w:numId w:val="1"/>
      </w:numPr>
      <w:spacing w:line="360" w:lineRule="auto"/>
      <w:outlineLvl w:val="5"/>
    </w:pPr>
    <w:rPr>
      <w:rFonts w:ascii="宋体" w:cs="宋体"/>
      <w:bCs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3907</Words>
  <Characters>4178</Characters>
  <Lines>0</Lines>
  <Paragraphs>0</Paragraphs>
  <TotalTime>16</TotalTime>
  <ScaleCrop>false</ScaleCrop>
  <LinksUpToDate>false</LinksUpToDate>
  <CharactersWithSpaces>4579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2020-08-13T09:25:00Z</dcterms:created>
  <dc:creator>PC</dc:creator>
  <cp:lastModifiedBy>玘悅</cp:lastModifiedBy>
  <cp:lastPrinted>2022-08-22T06:48:32Z</cp:lastPrinted>
  <dcterms:modified xsi:type="dcterms:W3CDTF">2022-08-22T06:48:54Z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E9A4947FBD5049F0BF9807689AE98FBF</vt:lpwstr>
  </property>
</Properties>
</file>