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szCs w:val="32"/>
        </w:rPr>
        <w:t xml:space="preserve">    施工图审查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szCs w:val="32"/>
        </w:rPr>
        <w:t xml:space="preserve">  建设管理部           </w:t>
      </w:r>
    </w:p>
    <w:p>
      <w:pPr>
        <w:spacing w:beforeLines="50" w:line="760" w:lineRule="exact"/>
        <w:ind w:firstLine="480" w:firstLineChars="150"/>
        <w:rPr>
          <w:rFonts w:eastAsia="仿宋_GB2312"/>
          <w:sz w:val="32"/>
          <w:u w:val="single"/>
        </w:rPr>
      </w:pPr>
      <w:r>
        <w:rPr>
          <w:rFonts w:hint="eastAsia" w:eastAsia="仿宋_GB2312"/>
          <w:sz w:val="32"/>
        </w:rPr>
        <w:t>主管部门：</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eastAsia="仿宋_GB2312"/>
          <w:sz w:val="32"/>
        </w:rPr>
        <w:t>2022</w:t>
      </w:r>
      <w:r>
        <w:rPr>
          <w:rFonts w:hint="eastAsia" w:eastAsia="仿宋_GB2312"/>
          <w:sz w:val="32"/>
        </w:rPr>
        <w:t xml:space="preserve">年 7月 </w:t>
      </w:r>
      <w:r>
        <w:rPr>
          <w:rFonts w:eastAsia="仿宋_GB2312"/>
          <w:sz w:val="32"/>
        </w:rPr>
        <w:t>22</w:t>
      </w:r>
      <w:r>
        <w:rPr>
          <w:rFonts w:hint="eastAsia" w:eastAsia="仿宋_GB2312"/>
          <w:sz w:val="32"/>
        </w:rPr>
        <w:t>日</w:t>
      </w:r>
    </w:p>
    <w:p>
      <w:pPr>
        <w:spacing w:line="100" w:lineRule="exact"/>
        <w:jc w:val="center"/>
        <w:rPr>
          <w:rFonts w:eastAsia="仿宋_GB2312"/>
          <w:sz w:val="32"/>
        </w:rPr>
      </w:pPr>
    </w:p>
    <w:p>
      <w:pPr>
        <w:spacing w:line="100" w:lineRule="exact"/>
        <w:jc w:val="center"/>
        <w:rPr>
          <w:rFonts w:eastAsia="仿宋_GB2312"/>
          <w:sz w:val="32"/>
        </w:rPr>
      </w:pPr>
    </w:p>
    <w:tbl>
      <w:tblPr>
        <w:tblStyle w:val="2"/>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441"/>
        <w:gridCol w:w="773"/>
        <w:gridCol w:w="306"/>
        <w:gridCol w:w="338"/>
        <w:gridCol w:w="1009"/>
        <w:gridCol w:w="267"/>
        <w:gridCol w:w="992"/>
        <w:gridCol w:w="141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3"/>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5"/>
            <w:vAlign w:val="center"/>
          </w:tcPr>
          <w:p>
            <w:pPr>
              <w:rPr>
                <w:rFonts w:eastAsia="仿宋_GB2312"/>
                <w:sz w:val="24"/>
              </w:rPr>
            </w:pPr>
            <w:r>
              <w:rPr>
                <w:rFonts w:hint="eastAsia" w:eastAsia="仿宋_GB2312"/>
                <w:sz w:val="24"/>
              </w:rPr>
              <w:t>孟志军</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r>
              <w:rPr>
                <w:rFonts w:hint="eastAsia" w:eastAsia="仿宋_GB2312"/>
                <w:sz w:val="24"/>
              </w:rPr>
              <w:t>13907303566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5"/>
            <w:vAlign w:val="center"/>
          </w:tcPr>
          <w:p>
            <w:pPr>
              <w:rPr>
                <w:rFonts w:eastAsia="仿宋_GB2312"/>
                <w:sz w:val="24"/>
              </w:rPr>
            </w:pPr>
            <w:r>
              <w:rPr>
                <w:rFonts w:hint="eastAsia" w:eastAsia="仿宋_GB2312"/>
                <w:sz w:val="24"/>
              </w:rPr>
              <w:t>通关服务中心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r>
              <w:rPr>
                <w:rFonts w:hint="eastAsia" w:eastAsia="仿宋_GB2312"/>
                <w:sz w:val="24"/>
              </w:rPr>
              <w:t>4</w:t>
            </w:r>
            <w:r>
              <w:rPr>
                <w:rFonts w:eastAsia="仿宋_GB2312"/>
                <w:sz w:val="24"/>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1"/>
            <w:vAlign w:val="center"/>
          </w:tcPr>
          <w:p>
            <w:pPr>
              <w:ind w:firstLine="1190" w:firstLineChars="496"/>
              <w:rPr>
                <w:rFonts w:eastAsia="仿宋_GB2312"/>
                <w:sz w:val="24"/>
              </w:rPr>
            </w:pPr>
            <w:r>
              <w:rPr>
                <w:rFonts w:hint="eastAsia" w:eastAsia="仿宋_GB2312"/>
                <w:sz w:val="24"/>
              </w:rPr>
              <w:t xml:space="preserve">2021年     </w:t>
            </w:r>
            <w:r>
              <w:rPr>
                <w:rFonts w:eastAsia="仿宋_GB2312"/>
                <w:sz w:val="24"/>
              </w:rPr>
              <w:t>1</w:t>
            </w:r>
            <w:r>
              <w:rPr>
                <w:rFonts w:hint="eastAsia" w:eastAsia="仿宋_GB2312"/>
                <w:sz w:val="24"/>
              </w:rPr>
              <w:t xml:space="preserve">  月起至</w:t>
            </w:r>
            <w:r>
              <w:rPr>
                <w:rFonts w:eastAsia="仿宋_GB2312"/>
                <w:sz w:val="24"/>
              </w:rPr>
              <w:t>2021</w:t>
            </w:r>
            <w:r>
              <w:rPr>
                <w:rFonts w:hint="eastAsia" w:eastAsia="仿宋_GB2312"/>
                <w:sz w:val="24"/>
              </w:rPr>
              <w:t>年</w:t>
            </w:r>
            <w:r>
              <w:rPr>
                <w:rFonts w:eastAsia="仿宋_GB2312"/>
                <w:sz w:val="24"/>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r>
              <w:rPr>
                <w:rFonts w:eastAsia="仿宋_GB2312"/>
                <w:sz w:val="24"/>
              </w:rPr>
              <w:t>500</w:t>
            </w:r>
          </w:p>
        </w:tc>
        <w:tc>
          <w:tcPr>
            <w:tcW w:w="144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079" w:type="dxa"/>
            <w:gridSpan w:val="2"/>
            <w:tcBorders>
              <w:bottom w:val="single" w:color="auto" w:sz="4" w:space="0"/>
            </w:tcBorders>
            <w:vAlign w:val="center"/>
          </w:tcPr>
          <w:p>
            <w:pPr>
              <w:spacing w:line="360" w:lineRule="exact"/>
              <w:jc w:val="center"/>
              <w:rPr>
                <w:rFonts w:eastAsia="仿宋_GB2312"/>
                <w:sz w:val="24"/>
              </w:rPr>
            </w:pPr>
            <w:r>
              <w:rPr>
                <w:rFonts w:eastAsia="仿宋_GB2312"/>
                <w:sz w:val="24"/>
              </w:rPr>
              <w:t>500</w:t>
            </w:r>
          </w:p>
        </w:tc>
        <w:tc>
          <w:tcPr>
            <w:tcW w:w="161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992"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266.85</w:t>
            </w:r>
          </w:p>
        </w:tc>
        <w:tc>
          <w:tcPr>
            <w:tcW w:w="1418"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56" w:type="dxa"/>
            <w:tcBorders>
              <w:bottom w:val="single" w:color="auto" w:sz="4" w:space="0"/>
            </w:tcBorders>
            <w:vAlign w:val="center"/>
          </w:tcPr>
          <w:p>
            <w:pPr>
              <w:jc w:val="center"/>
              <w:rPr>
                <w:rFonts w:eastAsia="仿宋_GB2312"/>
                <w:b/>
                <w:sz w:val="24"/>
              </w:rPr>
            </w:pPr>
            <w:r>
              <w:rPr>
                <w:rFonts w:hint="eastAsia" w:eastAsia="仿宋_GB2312"/>
                <w:b/>
                <w:sz w:val="24"/>
              </w:rPr>
              <w:t>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441"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079" w:type="dxa"/>
            <w:gridSpan w:val="2"/>
            <w:tcBorders>
              <w:bottom w:val="single" w:color="auto" w:sz="4" w:space="0"/>
            </w:tcBorders>
            <w:vAlign w:val="center"/>
          </w:tcPr>
          <w:p>
            <w:pPr>
              <w:rPr>
                <w:rFonts w:eastAsia="仿宋_GB2312"/>
                <w:spacing w:val="-6"/>
                <w:sz w:val="24"/>
              </w:rPr>
            </w:pPr>
          </w:p>
        </w:tc>
        <w:tc>
          <w:tcPr>
            <w:tcW w:w="161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992" w:type="dxa"/>
            <w:tcBorders>
              <w:bottom w:val="single" w:color="auto" w:sz="4" w:space="0"/>
            </w:tcBorders>
            <w:vAlign w:val="center"/>
          </w:tcPr>
          <w:p>
            <w:pPr>
              <w:rPr>
                <w:rFonts w:eastAsia="仿宋_GB2312"/>
                <w:spacing w:val="-6"/>
                <w:sz w:val="24"/>
              </w:rPr>
            </w:pPr>
          </w:p>
        </w:tc>
        <w:tc>
          <w:tcPr>
            <w:tcW w:w="1418"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省财政</w:t>
            </w:r>
          </w:p>
        </w:tc>
        <w:tc>
          <w:tcPr>
            <w:tcW w:w="1079" w:type="dxa"/>
            <w:gridSpan w:val="2"/>
            <w:tcBorders>
              <w:bottom w:val="single" w:color="auto" w:sz="4" w:space="0"/>
            </w:tcBorders>
            <w:vAlign w:val="center"/>
          </w:tcPr>
          <w:p>
            <w:pPr>
              <w:rPr>
                <w:rFonts w:eastAsia="仿宋_GB2312"/>
                <w:sz w:val="24"/>
              </w:rPr>
            </w:pPr>
          </w:p>
        </w:tc>
        <w:tc>
          <w:tcPr>
            <w:tcW w:w="161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992"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省财政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市财政</w:t>
            </w:r>
          </w:p>
        </w:tc>
        <w:tc>
          <w:tcPr>
            <w:tcW w:w="1079" w:type="dxa"/>
            <w:gridSpan w:val="2"/>
            <w:tcBorders>
              <w:bottom w:val="single" w:color="auto" w:sz="4" w:space="0"/>
            </w:tcBorders>
            <w:vAlign w:val="center"/>
          </w:tcPr>
          <w:p>
            <w:pPr>
              <w:rPr>
                <w:rFonts w:eastAsia="仿宋_GB2312"/>
                <w:sz w:val="24"/>
              </w:rPr>
            </w:pPr>
          </w:p>
        </w:tc>
        <w:tc>
          <w:tcPr>
            <w:tcW w:w="161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992"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市财政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1079" w:type="dxa"/>
            <w:gridSpan w:val="2"/>
            <w:tcBorders>
              <w:bottom w:val="single" w:color="auto" w:sz="4" w:space="0"/>
            </w:tcBorders>
            <w:vAlign w:val="center"/>
          </w:tcPr>
          <w:p>
            <w:pPr>
              <w:rPr>
                <w:rFonts w:eastAsia="仿宋_GB2312"/>
                <w:sz w:val="24"/>
              </w:rPr>
            </w:pPr>
          </w:p>
        </w:tc>
        <w:tc>
          <w:tcPr>
            <w:tcW w:w="161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992"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其它</w:t>
            </w:r>
          </w:p>
        </w:tc>
        <w:tc>
          <w:tcPr>
            <w:tcW w:w="1079" w:type="dxa"/>
            <w:gridSpan w:val="2"/>
            <w:tcBorders>
              <w:bottom w:val="single" w:color="auto" w:sz="4" w:space="0"/>
            </w:tcBorders>
            <w:vAlign w:val="center"/>
          </w:tcPr>
          <w:p>
            <w:pPr>
              <w:rPr>
                <w:rFonts w:eastAsia="仿宋_GB2312"/>
                <w:sz w:val="24"/>
              </w:rPr>
            </w:pPr>
          </w:p>
        </w:tc>
        <w:tc>
          <w:tcPr>
            <w:tcW w:w="161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992"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其它</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3"/>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441"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693"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6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color w:val="000000"/>
                <w:sz w:val="20"/>
                <w:szCs w:val="20"/>
              </w:rPr>
              <w:t>施工图审查支出</w:t>
            </w:r>
          </w:p>
        </w:tc>
        <w:tc>
          <w:tcPr>
            <w:tcW w:w="1441" w:type="dxa"/>
            <w:tcBorders>
              <w:bottom w:val="single" w:color="auto" w:sz="4" w:space="0"/>
            </w:tcBorders>
            <w:vAlign w:val="center"/>
          </w:tcPr>
          <w:p>
            <w:pPr>
              <w:jc w:val="center"/>
              <w:rPr>
                <w:rFonts w:eastAsia="仿宋_GB2312"/>
                <w:sz w:val="24"/>
              </w:rPr>
            </w:pPr>
            <w:r>
              <w:rPr>
                <w:rFonts w:hint="eastAsia" w:eastAsia="仿宋_GB2312"/>
                <w:sz w:val="24"/>
              </w:rPr>
              <w:t>266.85</w:t>
            </w:r>
          </w:p>
        </w:tc>
        <w:tc>
          <w:tcPr>
            <w:tcW w:w="2693" w:type="dxa"/>
            <w:gridSpan w:val="5"/>
            <w:tcBorders>
              <w:bottom w:val="single" w:color="auto" w:sz="4" w:space="0"/>
            </w:tcBorders>
            <w:vAlign w:val="center"/>
          </w:tcPr>
          <w:p>
            <w:pPr>
              <w:jc w:val="center"/>
              <w:rPr>
                <w:rFonts w:eastAsia="仿宋_GB2312"/>
                <w:sz w:val="24"/>
              </w:rPr>
            </w:pPr>
          </w:p>
        </w:tc>
        <w:tc>
          <w:tcPr>
            <w:tcW w:w="3066" w:type="dxa"/>
            <w:gridSpan w:val="3"/>
            <w:tcBorders>
              <w:bottom w:val="single" w:color="auto" w:sz="4" w:space="0"/>
            </w:tcBorders>
            <w:vAlign w:val="center"/>
          </w:tcPr>
          <w:p>
            <w:pPr>
              <w:jc w:val="center"/>
              <w:rPr>
                <w:color w:val="000000"/>
                <w:sz w:val="20"/>
                <w:szCs w:val="20"/>
              </w:rPr>
            </w:pPr>
            <w:r>
              <w:rPr>
                <w:rFonts w:hint="eastAsia"/>
                <w:color w:val="000000"/>
                <w:sz w:val="20"/>
                <w:szCs w:val="20"/>
              </w:rPr>
              <w:t>施工图审查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441" w:type="dxa"/>
            <w:tcBorders>
              <w:bottom w:val="single" w:color="auto" w:sz="4" w:space="0"/>
            </w:tcBorders>
            <w:vAlign w:val="center"/>
          </w:tcPr>
          <w:p>
            <w:pPr>
              <w:jc w:val="center"/>
              <w:rPr>
                <w:rFonts w:eastAsia="仿宋_GB2312"/>
                <w:b/>
                <w:sz w:val="24"/>
              </w:rPr>
            </w:pPr>
            <w:r>
              <w:rPr>
                <w:rFonts w:hint="eastAsia" w:eastAsia="仿宋_GB2312"/>
                <w:b/>
                <w:sz w:val="24"/>
              </w:rPr>
              <w:t>266.85</w:t>
            </w:r>
          </w:p>
        </w:tc>
        <w:tc>
          <w:tcPr>
            <w:tcW w:w="2693" w:type="dxa"/>
            <w:gridSpan w:val="5"/>
            <w:tcBorders>
              <w:bottom w:val="single" w:color="auto" w:sz="4" w:space="0"/>
            </w:tcBorders>
            <w:vAlign w:val="center"/>
          </w:tcPr>
          <w:p>
            <w:pPr>
              <w:jc w:val="center"/>
              <w:rPr>
                <w:rFonts w:eastAsia="仿宋_GB2312"/>
                <w:b/>
                <w:sz w:val="24"/>
              </w:rPr>
            </w:pPr>
          </w:p>
        </w:tc>
        <w:tc>
          <w:tcPr>
            <w:tcW w:w="306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3"/>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43"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6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43" w:type="dxa"/>
            <w:gridSpan w:val="9"/>
            <w:tcBorders>
              <w:bottom w:val="single" w:color="auto" w:sz="4" w:space="0"/>
            </w:tcBorders>
            <w:vAlign w:val="center"/>
          </w:tcPr>
          <w:p>
            <w:pPr>
              <w:jc w:val="center"/>
              <w:rPr>
                <w:rFonts w:eastAsia="仿宋_GB2312"/>
                <w:b/>
                <w:sz w:val="24"/>
              </w:rPr>
            </w:pPr>
            <w:r>
              <w:rPr>
                <w:rFonts w:hint="eastAsia" w:ascii="仿宋_GB2312" w:hAnsi="仿宋_GB2312" w:eastAsia="仿宋_GB2312" w:cs="仿宋_GB2312"/>
                <w:color w:val="000000"/>
                <w:sz w:val="24"/>
              </w:rPr>
              <w:t>按时效及时完成企业上传的施工图审查任务</w:t>
            </w:r>
          </w:p>
        </w:tc>
        <w:tc>
          <w:tcPr>
            <w:tcW w:w="3066" w:type="dxa"/>
            <w:gridSpan w:val="3"/>
            <w:tcBorders>
              <w:bottom w:val="single" w:color="auto" w:sz="4" w:space="0"/>
            </w:tcBorders>
            <w:vAlign w:val="center"/>
          </w:tcPr>
          <w:p>
            <w:pPr>
              <w:autoSpaceDN w:val="0"/>
              <w:jc w:val="left"/>
              <w:textAlignment w:val="center"/>
              <w:rPr>
                <w:rFonts w:ascii="仿宋_GB2312" w:hAnsi="仿宋_GB2312" w:eastAsia="仿宋_GB2312" w:cs="仿宋_GB2312"/>
                <w:color w:val="000000"/>
                <w:sz w:val="24"/>
              </w:rPr>
            </w:pPr>
          </w:p>
          <w:p>
            <w:pPr>
              <w:spacing w:line="400" w:lineRule="exact"/>
              <w:jc w:val="center"/>
              <w:rPr>
                <w:rFonts w:eastAsia="仿宋_GB2312"/>
                <w:b/>
                <w:sz w:val="24"/>
              </w:rPr>
            </w:pPr>
            <w:r>
              <w:rPr>
                <w:rFonts w:hint="eastAsia" w:ascii="仿宋_GB2312" w:hAnsi="仿宋_GB2312" w:eastAsia="仿宋_GB2312" w:cs="仿宋_GB2312"/>
                <w:color w:val="000000"/>
                <w:sz w:val="24"/>
              </w:rPr>
              <w:t>按时效及时完成企业上传的施工图审查任务按计划已完成。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44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76"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6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441" w:type="dxa"/>
            <w:vAlign w:val="center"/>
          </w:tcPr>
          <w:p>
            <w:pPr>
              <w:spacing w:line="360" w:lineRule="exact"/>
              <w:jc w:val="center"/>
              <w:rPr>
                <w:rFonts w:eastAsia="仿宋_GB2312"/>
                <w:sz w:val="24"/>
              </w:rPr>
            </w:pPr>
            <w:r>
              <w:rPr>
                <w:rFonts w:hint="eastAsia" w:eastAsia="仿宋_GB2312"/>
                <w:sz w:val="24"/>
              </w:rPr>
              <w:t>数量指标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4"/>
              </w:rPr>
              <w:t>严标准高效率完成审图，审核经费500万元</w:t>
            </w:r>
          </w:p>
        </w:tc>
        <w:tc>
          <w:tcPr>
            <w:tcW w:w="3066"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质量指标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4"/>
              </w:rPr>
              <w:t>按标准审图，并及时高效完成审图</w:t>
            </w:r>
          </w:p>
        </w:tc>
        <w:tc>
          <w:tcPr>
            <w:tcW w:w="3066"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时效指标</w:t>
            </w:r>
          </w:p>
        </w:tc>
        <w:tc>
          <w:tcPr>
            <w:tcW w:w="1417" w:type="dxa"/>
            <w:gridSpan w:val="3"/>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vAlign w:val="center"/>
          </w:tcPr>
          <w:p>
            <w:pPr>
              <w:jc w:val="center"/>
              <w:rPr>
                <w:rFonts w:eastAsia="仿宋_GB2312"/>
                <w:sz w:val="24"/>
              </w:rPr>
            </w:pPr>
            <w:r>
              <w:rPr>
                <w:rFonts w:hint="eastAsia" w:ascii="仿宋_GB2312" w:hAnsi="仿宋_GB2312" w:eastAsia="仿宋_GB2312" w:cs="仿宋_GB2312"/>
                <w:color w:val="000000"/>
                <w:sz w:val="24"/>
              </w:rPr>
              <w:t>在既定时间内完成绩效目标</w:t>
            </w:r>
          </w:p>
        </w:tc>
        <w:tc>
          <w:tcPr>
            <w:tcW w:w="3066"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成本指标</w:t>
            </w:r>
          </w:p>
        </w:tc>
        <w:tc>
          <w:tcPr>
            <w:tcW w:w="1417" w:type="dxa"/>
            <w:gridSpan w:val="3"/>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vAlign w:val="center"/>
          </w:tcPr>
          <w:p>
            <w:pPr>
              <w:jc w:val="center"/>
              <w:rPr>
                <w:rFonts w:eastAsia="仿宋_GB2312"/>
                <w:sz w:val="24"/>
              </w:rPr>
            </w:pPr>
            <w:r>
              <w:rPr>
                <w:rFonts w:hint="eastAsia" w:ascii="仿宋_GB2312" w:hAnsi="仿宋_GB2312" w:eastAsia="仿宋_GB2312" w:cs="仿宋_GB2312"/>
                <w:color w:val="000000"/>
                <w:sz w:val="24"/>
              </w:rPr>
              <w:t>控制在预算内，无资金浪费</w:t>
            </w:r>
          </w:p>
        </w:tc>
        <w:tc>
          <w:tcPr>
            <w:tcW w:w="3066"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441"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417" w:type="dxa"/>
            <w:gridSpan w:val="3"/>
            <w:vAlign w:val="center"/>
          </w:tcPr>
          <w:p>
            <w:pPr>
              <w:spacing w:line="360" w:lineRule="exact"/>
              <w:rPr>
                <w:rFonts w:eastAsia="仿宋_GB2312"/>
                <w:sz w:val="24"/>
              </w:rPr>
            </w:pPr>
          </w:p>
          <w:p>
            <w:pPr>
              <w:spacing w:line="360" w:lineRule="exact"/>
              <w:jc w:val="center"/>
              <w:rPr>
                <w:rFonts w:eastAsia="仿宋_GB2312"/>
                <w:sz w:val="24"/>
              </w:rPr>
            </w:pPr>
            <w:r>
              <w:rPr>
                <w:rFonts w:hint="eastAsia"/>
                <w:color w:val="000000"/>
                <w:sz w:val="20"/>
                <w:szCs w:val="20"/>
              </w:rPr>
              <w:t>施工图审查</w:t>
            </w:r>
          </w:p>
        </w:tc>
        <w:tc>
          <w:tcPr>
            <w:tcW w:w="1276"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1、为港区产业项目建设供地，创造经济价值，促进港区经济发展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2、为入园企业减少建设成本，节约建设资金</w:t>
            </w:r>
          </w:p>
          <w:p>
            <w:pPr>
              <w:jc w:val="center"/>
              <w:rPr>
                <w:rFonts w:eastAsia="仿宋_GB2312"/>
                <w:sz w:val="24"/>
              </w:rPr>
            </w:pPr>
            <w:r>
              <w:rPr>
                <w:rFonts w:hint="eastAsia" w:ascii="仿宋_GB2312" w:hAnsi="仿宋_GB2312" w:eastAsia="仿宋_GB2312" w:cs="仿宋_GB2312"/>
                <w:color w:val="000000"/>
                <w:sz w:val="24"/>
              </w:rPr>
              <w:t>……</w:t>
            </w:r>
          </w:p>
        </w:tc>
        <w:tc>
          <w:tcPr>
            <w:tcW w:w="3066"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417" w:type="dxa"/>
            <w:gridSpan w:val="3"/>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1、为港区产业项目建设供地，创造经济价值，促进港区经济发展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2、为入园企业减少建设成本，节约建设资金</w:t>
            </w:r>
          </w:p>
          <w:p>
            <w:pPr>
              <w:jc w:val="center"/>
              <w:rPr>
                <w:rFonts w:eastAsia="仿宋_GB2312"/>
                <w:sz w:val="24"/>
              </w:rPr>
            </w:pPr>
            <w:r>
              <w:rPr>
                <w:rFonts w:hint="eastAsia" w:ascii="仿宋_GB2312" w:hAnsi="仿宋_GB2312" w:eastAsia="仿宋_GB2312" w:cs="仿宋_GB2312"/>
                <w:color w:val="000000"/>
                <w:sz w:val="24"/>
              </w:rPr>
              <w:t>……</w:t>
            </w:r>
          </w:p>
        </w:tc>
        <w:tc>
          <w:tcPr>
            <w:tcW w:w="3066"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417" w:type="dxa"/>
            <w:gridSpan w:val="3"/>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1、注重生态环境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2、优化营商环境，为企业减负</w:t>
            </w:r>
          </w:p>
        </w:tc>
        <w:tc>
          <w:tcPr>
            <w:tcW w:w="3066"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服务对象满意度指标</w:t>
            </w:r>
          </w:p>
        </w:tc>
        <w:tc>
          <w:tcPr>
            <w:tcW w:w="1417" w:type="dxa"/>
            <w:gridSpan w:val="3"/>
            <w:vAlign w:val="center"/>
          </w:tcPr>
          <w:p>
            <w:pPr>
              <w:spacing w:line="360" w:lineRule="exact"/>
              <w:jc w:val="center"/>
              <w:rPr>
                <w:rFonts w:eastAsia="仿宋_GB2312"/>
                <w:sz w:val="24"/>
              </w:rPr>
            </w:pPr>
            <w:r>
              <w:rPr>
                <w:rFonts w:hint="eastAsia"/>
                <w:color w:val="000000"/>
                <w:sz w:val="20"/>
                <w:szCs w:val="20"/>
              </w:rPr>
              <w:t>施工图审查</w:t>
            </w:r>
          </w:p>
        </w:tc>
        <w:tc>
          <w:tcPr>
            <w:tcW w:w="1276"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1、服务对象满意率95%；社会公众满意率95%</w:t>
            </w:r>
          </w:p>
          <w:p>
            <w:pPr>
              <w:jc w:val="center"/>
              <w:rPr>
                <w:rFonts w:eastAsia="仿宋_GB2312"/>
                <w:sz w:val="24"/>
              </w:rPr>
            </w:pPr>
          </w:p>
        </w:tc>
        <w:tc>
          <w:tcPr>
            <w:tcW w:w="3066"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9"/>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9"/>
            <w:tcBorders>
              <w:bottom w:val="single" w:color="auto" w:sz="4" w:space="0"/>
            </w:tcBorders>
            <w:vAlign w:val="center"/>
          </w:tcPr>
          <w:p>
            <w:pPr>
              <w:jc w:val="center"/>
              <w:rPr>
                <w:rFonts w:eastAsia="仿宋_GB2312"/>
                <w:sz w:val="24"/>
              </w:rPr>
            </w:pPr>
            <w:r>
              <w:rPr>
                <w:rFonts w:hint="eastAsia" w:eastAsia="仿宋_GB23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3"/>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1920" w:type="dxa"/>
            <w:gridSpan w:val="4"/>
            <w:vAlign w:val="center"/>
          </w:tcPr>
          <w:p>
            <w:pPr>
              <w:jc w:val="center"/>
              <w:rPr>
                <w:rFonts w:eastAsia="仿宋_GB2312"/>
                <w:sz w:val="24"/>
              </w:rPr>
            </w:pPr>
            <w:r>
              <w:rPr>
                <w:rFonts w:hint="eastAsia" w:eastAsia="仿宋_GB2312"/>
                <w:sz w:val="24"/>
              </w:rPr>
              <w:t>单  位</w:t>
            </w:r>
          </w:p>
        </w:tc>
        <w:tc>
          <w:tcPr>
            <w:tcW w:w="306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黄 洪</w:t>
            </w:r>
          </w:p>
        </w:tc>
        <w:tc>
          <w:tcPr>
            <w:tcW w:w="2332" w:type="dxa"/>
            <w:gridSpan w:val="3"/>
            <w:vAlign w:val="center"/>
          </w:tcPr>
          <w:p>
            <w:pPr>
              <w:rPr>
                <w:rFonts w:eastAsia="仿宋_GB2312"/>
                <w:sz w:val="24"/>
              </w:rPr>
            </w:pPr>
            <w:r>
              <w:rPr>
                <w:rFonts w:hint="eastAsia" w:eastAsia="仿宋_GB2312"/>
                <w:sz w:val="24"/>
              </w:rPr>
              <w:t>科 长</w:t>
            </w:r>
          </w:p>
        </w:tc>
        <w:tc>
          <w:tcPr>
            <w:tcW w:w="1920" w:type="dxa"/>
            <w:gridSpan w:val="4"/>
            <w:vAlign w:val="center"/>
          </w:tcPr>
          <w:p>
            <w:pPr>
              <w:rPr>
                <w:rFonts w:eastAsia="仿宋_GB2312"/>
                <w:sz w:val="24"/>
              </w:rPr>
            </w:pPr>
            <w:r>
              <w:rPr>
                <w:rFonts w:hint="eastAsia" w:eastAsia="仿宋_GB2312"/>
                <w:sz w:val="24"/>
              </w:rPr>
              <w:t>建设管理部</w:t>
            </w:r>
          </w:p>
        </w:tc>
        <w:tc>
          <w:tcPr>
            <w:tcW w:w="306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孟志军</w:t>
            </w:r>
          </w:p>
        </w:tc>
        <w:tc>
          <w:tcPr>
            <w:tcW w:w="2332" w:type="dxa"/>
            <w:gridSpan w:val="3"/>
            <w:vAlign w:val="center"/>
          </w:tcPr>
          <w:p>
            <w:pPr>
              <w:rPr>
                <w:rFonts w:eastAsia="仿宋_GB2312"/>
                <w:sz w:val="24"/>
              </w:rPr>
            </w:pPr>
            <w:r>
              <w:rPr>
                <w:rFonts w:hint="eastAsia" w:eastAsia="仿宋_GB2312"/>
                <w:sz w:val="24"/>
              </w:rPr>
              <w:t>部 长</w:t>
            </w:r>
          </w:p>
        </w:tc>
        <w:tc>
          <w:tcPr>
            <w:tcW w:w="1920" w:type="dxa"/>
            <w:gridSpan w:val="4"/>
            <w:vAlign w:val="center"/>
          </w:tcPr>
          <w:p>
            <w:pPr>
              <w:rPr>
                <w:rFonts w:eastAsia="仿宋_GB2312"/>
                <w:sz w:val="24"/>
              </w:rPr>
            </w:pPr>
            <w:r>
              <w:rPr>
                <w:rFonts w:hint="eastAsia" w:eastAsia="仿宋_GB2312"/>
                <w:sz w:val="24"/>
              </w:rPr>
              <w:t>建设管理部</w:t>
            </w:r>
          </w:p>
        </w:tc>
        <w:tc>
          <w:tcPr>
            <w:tcW w:w="306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3"/>
            <w:vAlign w:val="center"/>
          </w:tcPr>
          <w:p>
            <w:pPr>
              <w:rPr>
                <w:rFonts w:eastAsia="仿宋_GB2312"/>
                <w:sz w:val="24"/>
              </w:rPr>
            </w:pPr>
          </w:p>
        </w:tc>
        <w:tc>
          <w:tcPr>
            <w:tcW w:w="1920" w:type="dxa"/>
            <w:gridSpan w:val="4"/>
            <w:vAlign w:val="center"/>
          </w:tcPr>
          <w:p>
            <w:pPr>
              <w:rPr>
                <w:rFonts w:eastAsia="仿宋_GB2312"/>
                <w:sz w:val="24"/>
              </w:rPr>
            </w:pPr>
          </w:p>
        </w:tc>
        <w:tc>
          <w:tcPr>
            <w:tcW w:w="306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万佳             联系电话：1</w:t>
      </w:r>
      <w:r>
        <w:rPr>
          <w:rFonts w:eastAsia="仿宋_GB2312" w:cs="仿宋_GB2312"/>
          <w:bCs/>
          <w:sz w:val="28"/>
          <w:szCs w:val="28"/>
        </w:rPr>
        <w:t>5874118901</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autoSpaceDN w:val="0"/>
              <w:jc w:val="left"/>
              <w:textAlignment w:val="center"/>
              <w:rPr>
                <w:rFonts w:ascii="黑体" w:hAnsi="黑体" w:eastAsia="黑体" w:cs="仿宋_GB2312"/>
                <w:b/>
                <w:color w:val="000000"/>
                <w:sz w:val="28"/>
                <w:szCs w:val="28"/>
              </w:rPr>
            </w:pP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（一）项目基本概况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管理部建设管理部基本情况人员共12人，在编人员4人，其主要职能负责区域内建设项目方案及初步设计的审查，以及建筑面积复核等技术性审查工作；负责拟订区域内征地拆迁和安置工作计划，并协调岳阳楼区、云溪区组织实施；负责对区域内建设项目实施行业管理；负责新港区部分自建项目的设计和质量、安全、进度、档案管理以及工程量核定、资金计划申报，牵头组织自建项目建设过程中的变更管理；负责区域内林地、水务等日常报批工作。</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建设管理部所负责的项目具体到施工图审查包括：</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城新港工发〔2021〕9号中文件中规定的所有建设项目在施工许可阶段的报建手续办理，包括：施工设计图的审查及备案（含消防），施工许可证的办理（含质量安全监督注册手续办理）</w:t>
            </w: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(二）项目资金使用及管理情况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推进过程中，定期对服务项目开展督促，严格按时间进度进行评价，并定期组织召开业务例会和专家评审会，严抓监管过程，落实验收备案，同时认真梳理筛查过往项目审批情况，查漏补缺，补充完善各类审批遗留问题，保障新港区项目资金支出的规范性与合法性。</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部门项目施工图审查预算500万元，施工图审查支出</w:t>
            </w:r>
            <w:r>
              <w:rPr>
                <w:rFonts w:hint="eastAsia" w:eastAsia="仿宋_GB2312"/>
                <w:sz w:val="24"/>
              </w:rPr>
              <w:t>266.85</w:t>
            </w:r>
            <w:r>
              <w:rPr>
                <w:rFonts w:hint="eastAsia" w:ascii="仿宋_GB2312" w:hAnsi="仿宋_GB2312" w:eastAsia="仿宋_GB2312" w:cs="仿宋_GB2312"/>
                <w:color w:val="000000"/>
                <w:sz w:val="24"/>
              </w:rPr>
              <w:t>万元。</w:t>
            </w: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（三）综合评价情况及评价结论</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根据自评绩效评分细则，我部严格执行预算管理，防止各种违反财经纪律的行为、保障重点、量入为出、收支平衡的原则，防止各种违反财经纪律的行为，提高了资金使用效益提高资金使用效益。</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完成了中创空天、综保区二期市政道路等40个项目消防设计审查、施工设计图、设计变更的审查备案。</w:t>
            </w: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（四）项目主要绩效情况分析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根据自评绩效评分细则，我部严格执行预算管理，防止各种违反财经纪律的行为、保障重点、量入为出、收支平衡的原则，防止各种违反财经纪律的行为，提高了资金使用效益提高资金使用效益。</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完成了中创空天、综保区二期市政道路等40个项目消防设计审查、施工设计图、设计变更的审查备案。</w:t>
            </w: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（五）主要经验及做法、存在问题和建议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主要经验：</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1、突出抓好责任落实，提升服务质量。严格实行行政审批首问责任制，提升工作人员的服务意识、宗旨意识和大局意识。</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严守审批底线。杜绝项目未批先建，未验先投情况，定期组织召开业务例会和专家评审会，严抓监管过程，落实验收备案，同时认真梳理筛查过往项目审批情况，查漏补缺，补充完善各类审批遗留问题，保障新港区项目规范性与合法性。</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3、认真贯彻落实招投标相关法律、法规、文件等精神要求，加强招投标监管，严格落实监管职责，防止和遏制违法招投标行为。</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存在问题：</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由于疫情影响增加了项目执行难度。</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严抓监管过程，落实验收备案。同时认真梳理筛查过往项目审批情况，查漏补缺，补充完善各类审批遗留问题，保障新港区项目规范性与合法性。</w:t>
            </w:r>
          </w:p>
          <w:p>
            <w:pPr>
              <w:spacing w:line="560" w:lineRule="exact"/>
              <w:ind w:firstLine="560" w:firstLineChars="200"/>
              <w:rPr>
                <w:rFonts w:eastAsia="楷体_GB2312"/>
                <w:bCs/>
                <w:sz w:val="28"/>
                <w:szCs w:val="28"/>
              </w:rPr>
            </w:pPr>
          </w:p>
        </w:tc>
      </w:tr>
    </w:tbl>
    <w:p/>
    <w:p/>
    <w:p>
      <w:pPr>
        <w:spacing w:beforeLines="50" w:afterLines="5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部门整体支出绩效评价评分表（建设管理部）</w:t>
      </w:r>
    </w:p>
    <w:tbl>
      <w:tblPr>
        <w:tblStyle w:val="2"/>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2"/>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w:t>
            </w:r>
            <w:r>
              <w:rPr>
                <w:rFonts w:ascii="仿宋_GB2312" w:hAnsi="宋体" w:eastAsia="仿宋_GB2312" w:cs="宋体"/>
                <w:b/>
                <w:bCs/>
                <w:kern w:val="0"/>
                <w:sz w:val="18"/>
                <w:szCs w:val="18"/>
              </w:rPr>
              <w:t>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项目支出绩效评价指标体系（建设管理部）</w:t>
      </w:r>
    </w:p>
    <w:tbl>
      <w:tblPr>
        <w:tblStyle w:val="2"/>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②目标明确（1分）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②符合经济社会发展规划（1分）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③部门年度工作计划（1分）</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②办法健全、规范（1分）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p>
          <w:p>
            <w:pPr>
              <w:widowControl/>
              <w:spacing w:line="240" w:lineRule="exact"/>
              <w:jc w:val="lef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②依据不合规扣2分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③截留、挤占、挪用扣3-6分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②严格执行制度（1分）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pStyle w:val="4"/>
              <w:widowControl/>
              <w:numPr>
                <w:ilvl w:val="0"/>
                <w:numId w:val="1"/>
              </w:numPr>
              <w:spacing w:line="240" w:lineRule="exact"/>
              <w:ind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00</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912B2"/>
    <w:multiLevelType w:val="multilevel"/>
    <w:tmpl w:val="271912B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jBlY2NjMGI5YmFkNTQ4ZWZhY2M2ZTQ0ZWRjZmMifQ=="/>
  </w:docVars>
  <w:rsids>
    <w:rsidRoot w:val="00000000"/>
    <w:rsid w:val="7BEB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2022-08-25T06:26:13Z</dcterms:created>
  <dc:creator>Administrator</dc:creator>
  <cp:lastModifiedBy>Administrator</cp:lastModifiedBy>
  <dcterms:modified xsi:type="dcterms:W3CDTF">2022-08-25T06:26:19Z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7AB615149691491097FF3509E8CCFC50</vt:lpwstr>
  </property>
</Properties>
</file>