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48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附件2-2</w:t>
      </w:r>
    </w:p>
    <w:p>
      <w:pPr>
        <w:snapToGrid/>
        <w:spacing w:before="0" w:beforeAutospacing="0" w:after="0" w:afterAutospacing="0" w:line="348" w:lineRule="auto"/>
        <w:jc w:val="both"/>
        <w:textAlignment w:val="baseline"/>
        <w:rPr>
          <w:rFonts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301" w:beforeAutospacing="0" w:after="0" w:afterAutospacing="0" w:line="60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湖南城陵矶新港区财政支出</w:t>
      </w:r>
    </w:p>
    <w:p>
      <w:pPr>
        <w:snapToGrid/>
        <w:spacing w:before="301" w:beforeAutospacing="0" w:after="0" w:afterAutospacing="0" w:line="60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绩效评价自评报告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仿宋_GB2312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仿宋_GB2312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760" w:lineRule="exact"/>
        <w:ind w:firstLine="466" w:firstLineChars="147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szCs w:val="32"/>
        </w:rPr>
        <w:t>评价类型：项目实施过程评价□   项目完成结果评价□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2"/>
          <w:u w:val="single"/>
          <w:lang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项目名称：湖南城陵矶新港区绿化养护项目第二包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项目单位：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eastAsia="zh-CN"/>
        </w:rPr>
        <w:t>岳阳丹青园林有限公司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u w:val="single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主管部门：</w:t>
      </w:r>
      <w:r>
        <w:rPr>
          <w:rFonts w:hint="default" w:eastAsia="仿宋_GB2312" w:asciiTheme="minorAscii" w:hAnsiTheme="minorAscii"/>
          <w:spacing w:val="-20"/>
          <w:sz w:val="32"/>
          <w:u w:val="none"/>
          <w:lang w:eastAsia="zh-CN"/>
        </w:rPr>
        <w:t>岳阳市城市管理和综合执法局湖南城陵矶新港区分局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评价方式：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>部门（单位）绩效自评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szCs w:val="32"/>
        </w:rPr>
        <w:t>评价机构：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部门（单位）评价组   </w:t>
      </w: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48" w:lineRule="auto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报告日期：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2022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  年 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6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 月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21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日</w:t>
      </w: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3"/>
        <w:gridCol w:w="717"/>
        <w:gridCol w:w="783"/>
        <w:gridCol w:w="684"/>
        <w:gridCol w:w="333"/>
        <w:gridCol w:w="720"/>
        <w:gridCol w:w="687"/>
        <w:gridCol w:w="660"/>
        <w:gridCol w:w="432"/>
        <w:gridCol w:w="585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张蓉蓉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13907308880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6" w:firstLineChars="496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年   7  月起至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年    12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计划安排资金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34.518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实际到位资金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34.518</w:t>
            </w: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实际支出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34.518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结余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0"/>
                <w:w w:val="10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6"/>
                <w:w w:val="100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6"/>
                <w:w w:val="100"/>
                <w:sz w:val="24"/>
              </w:rPr>
              <w:t>其中：中央财政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6"/>
                <w:w w:val="100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34.518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34.518</w:t>
            </w: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34.518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支出内容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实际支出数</w:t>
            </w: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会计凭证号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2021年7月-12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支付职工薪酬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34.518万元</w:t>
            </w: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2021年12月 22＃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支出合计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  <w:t>34.518</w:t>
            </w:r>
          </w:p>
        </w:tc>
        <w:tc>
          <w:tcPr>
            <w:tcW w:w="28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项目绩效定性目标及实施计划完成情况</w:t>
            </w:r>
          </w:p>
        </w:tc>
        <w:tc>
          <w:tcPr>
            <w:tcW w:w="52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预  期 目 标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2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加强城市的管理，提高城市管理水平，提升城市形象，在预定的时间内完成合同内容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按要求完成养护工作，提高城市管理水平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一级指标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二级指标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指标内容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指标（目标）值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项目产出指标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数量指标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绿地存活率95%以上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每月开展病虫害巡查，治理工作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平均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2次/月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平均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质量指标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绿化景观良好不出现大面积苗木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时效指标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年度内完成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成本指标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项目支出成本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预算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项目效益指标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经济效益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完成绩效目标设定的经济效益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社会效益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740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提升空气质量改善人们的生活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生态效益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740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注重保护生态环境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服务对象满意度指标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市民满意度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干部职工满意度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职称/职务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单  位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焦国华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项目经理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岳阳丹青园林有限公司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张丽辉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财务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岳阳丹青园林有限公司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评价组组长（签字）：         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项目单位意见：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主管部门意见：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财政部门归口业务科室意见：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>填报人（签名）：张丽辉             联系电话： 13507303689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五、评价报告综述（文字部分）</w:t>
            </w:r>
          </w:p>
          <w:p>
            <w:pPr>
              <w:snapToGrid/>
              <w:spacing w:before="0" w:beforeAutospacing="0" w:after="0" w:afterAutospacing="0" w:line="440" w:lineRule="exact"/>
              <w:ind w:firstLine="634" w:firstLineChars="200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项目基本概况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自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2021年1月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以来我公司经政府采购招投标有幸成为新港区绿化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养护单位，始终将服务好港区、打造港区新环境为目标，目前拥有一支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余人的专业养护队伍。我司在养护期间始终将发挥绿化养护专业队伍的优势，以优秀的管理和一流的技术，合理地进行部署，加强管理，确保养护质量。养护期限内对合同工程包工、包料、包质量、包安全、包文明施工的包方式，保证符合原设计、业主及有关养护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项目资金使用及管理情况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1、项目资金到位情况分析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202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年度，我公司每季度经考评合格后由城陵矶新港区财政局拨付资金。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2、项目资金使用情况分析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项目资金按季度发放后均用于养护各项开支。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3、项目资金管理情况分析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新港区绿化养护专项经费按照国家制定有关政策、制度、规定合规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合理使用。项目资金支出严格按局机关规定经过层层审批，专款专用。</w:t>
            </w:r>
          </w:p>
          <w:p>
            <w:pPr>
              <w:snapToGrid/>
              <w:spacing w:before="0" w:beforeAutospacing="0" w:after="0" w:afterAutospacing="0" w:line="560" w:lineRule="exact"/>
              <w:ind w:left="414" w:left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项目组织实施情况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1、项目组织情况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我司负责要要求完成园林绿化中的乔木、灌木、地被、草坪等植物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的养护管理。包括淋水、松土、施肥、整型、修剪枯枝败叶、草坪除杂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草、修剪滚压草坪、防治病虫害、苗木补种、树木涂白等植物保养工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作，景点的美化、保洁、绿化垃圾的清运、企业破道开口等有关绿化保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养工程以及园艺设施的维护。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评价情况及评价结论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我公司在2021年按要求完成了年度的养护工作，美化城市环境,打造文明城市，提升人居空气质量水平。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项目主要绩效情况分析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项目目预算控制良好，项目资金实际使用34.518万元，实际资金使用上，属于持平。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3、项目的效率性分析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①、绿地全年不间断保洁，苗木冲洗。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②、人工苗内除杂六次，药物控杂三次。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③、病虫害防治两次，白蚁防治一次。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④、草皮修剪十余次，其中7.8.9月份每月两次，其它月份基本每月一次，苗木色块修剪四次，亚乔木修剪一次，乔木及行道树整理修剪两次。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⑤、长江大道，芭云路，城陵矶路整改裸土或毁绿恢复近20处。组织全体员工安全教育6次，开展安全生产月活动一次。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⑥、人工加水车方式抗旱浇水45天，共用水车每日三台，人工每日1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人左右。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⑦、配合港区建设移植苗木14处。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⑧、全养护区域乔木防冻刷白一次，共刷白乔木约3.4万株。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⑨、处理车祸毁绿十余起。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⑩、每日工作巡查，每周例会，每月工作总结，每月工作计划，有条不紊进行。</w:t>
            </w:r>
          </w:p>
          <w:p>
            <w:pPr>
              <w:snapToGrid/>
              <w:spacing w:before="0" w:beforeAutospacing="0" w:after="0" w:afterAutospacing="0" w:line="560" w:lineRule="exact"/>
              <w:ind w:left="414" w:left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主要经验及做法、存在问题和建议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1、加强学习提高技能：我们养护基层员工大部分来自农村，业务技能需要更进一步提高，接下来我们公司一定会组织员工培训，加强学习，也希望城管分局领导多指导工作，多提宝贵意见。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2、农户非法占用绿化用地。近几年来，附近居民经常有占用绿地种菜的现象，我公司曾多次劝阻张贴标识牌进行宣传，由于我们无法强制要求居民恢复，故一直未取得很明显的效果。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3、各企业施工毁绿沟通及后期恢复问题。港区建设大步前进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楷体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楷体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301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附件3-2</w:t>
      </w:r>
    </w:p>
    <w:p>
      <w:pPr>
        <w:snapToGrid/>
        <w:spacing w:before="301" w:beforeAutospacing="0" w:after="301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8"/>
          <w:szCs w:val="38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8"/>
          <w:szCs w:val="38"/>
        </w:rPr>
        <w:t>项目支出绩效评价指标体系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④目标量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1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10"/>
                <w:w w:val="10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自评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firstLine="237" w:firstLineChars="100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firstLine="237" w:firstLineChars="100"/>
              <w:jc w:val="both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95</w:t>
            </w:r>
          </w:p>
        </w:tc>
      </w:tr>
    </w:tbl>
    <w:p>
      <w:pPr>
        <w:snapToGrid w:val="0"/>
        <w:spacing w:before="301" w:beforeAutospacing="0" w:after="0" w:afterAutospacing="0" w:line="20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301" w:beforeAutospacing="0" w:after="0" w:afterAutospacing="0" w:line="240" w:lineRule="auto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备注：部门（单位）根据项目实际，在《项目支出绩效评价指标体系（参考样表）》上进一步完善、量化、细化个性指标，形成本项目的指标体系。</w:t>
      </w:r>
    </w:p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3D8B1"/>
    <w:multiLevelType w:val="singleLevel"/>
    <w:tmpl w:val="4143D8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g5MWNkMDM4Yzc2MTE0ZjNkOWVmNzg0YWM2ODcifQ=="/>
  </w:docVars>
  <w:rsids>
    <w:rsidRoot w:val="00F521AC"/>
    <w:rsid w:val="00005DF5"/>
    <w:rsid w:val="00026EDF"/>
    <w:rsid w:val="000907A7"/>
    <w:rsid w:val="000B10DA"/>
    <w:rsid w:val="000D2C50"/>
    <w:rsid w:val="000D35DF"/>
    <w:rsid w:val="000D6385"/>
    <w:rsid w:val="000E0C52"/>
    <w:rsid w:val="000E44B2"/>
    <w:rsid w:val="000F2261"/>
    <w:rsid w:val="001274A6"/>
    <w:rsid w:val="001477FB"/>
    <w:rsid w:val="001A6003"/>
    <w:rsid w:val="001D0882"/>
    <w:rsid w:val="001D59FA"/>
    <w:rsid w:val="001E757A"/>
    <w:rsid w:val="001F769E"/>
    <w:rsid w:val="002228C6"/>
    <w:rsid w:val="002319A0"/>
    <w:rsid w:val="00241C05"/>
    <w:rsid w:val="002908F0"/>
    <w:rsid w:val="002F390D"/>
    <w:rsid w:val="003B56A9"/>
    <w:rsid w:val="003C08FC"/>
    <w:rsid w:val="003D0A51"/>
    <w:rsid w:val="003F0034"/>
    <w:rsid w:val="003F6FBE"/>
    <w:rsid w:val="00497775"/>
    <w:rsid w:val="004A175A"/>
    <w:rsid w:val="004E4D39"/>
    <w:rsid w:val="00532371"/>
    <w:rsid w:val="005549BF"/>
    <w:rsid w:val="00557CE8"/>
    <w:rsid w:val="00564E7D"/>
    <w:rsid w:val="005725E6"/>
    <w:rsid w:val="005901A2"/>
    <w:rsid w:val="00595358"/>
    <w:rsid w:val="005961D8"/>
    <w:rsid w:val="005A5CEA"/>
    <w:rsid w:val="00604AE8"/>
    <w:rsid w:val="0066251B"/>
    <w:rsid w:val="0067543D"/>
    <w:rsid w:val="00682829"/>
    <w:rsid w:val="006C4524"/>
    <w:rsid w:val="00700961"/>
    <w:rsid w:val="00701987"/>
    <w:rsid w:val="00736EFE"/>
    <w:rsid w:val="007556ED"/>
    <w:rsid w:val="00773BC9"/>
    <w:rsid w:val="007928AF"/>
    <w:rsid w:val="008613DB"/>
    <w:rsid w:val="008671CE"/>
    <w:rsid w:val="008766B7"/>
    <w:rsid w:val="00893926"/>
    <w:rsid w:val="008F291E"/>
    <w:rsid w:val="00902843"/>
    <w:rsid w:val="00904DA1"/>
    <w:rsid w:val="00914A31"/>
    <w:rsid w:val="00942A92"/>
    <w:rsid w:val="009A306D"/>
    <w:rsid w:val="009A6E11"/>
    <w:rsid w:val="009C67E8"/>
    <w:rsid w:val="00A33916"/>
    <w:rsid w:val="00AA16BE"/>
    <w:rsid w:val="00AD105F"/>
    <w:rsid w:val="00AD574C"/>
    <w:rsid w:val="00B32B1E"/>
    <w:rsid w:val="00B735BC"/>
    <w:rsid w:val="00BC7F9A"/>
    <w:rsid w:val="00BF3858"/>
    <w:rsid w:val="00C111C8"/>
    <w:rsid w:val="00C473A5"/>
    <w:rsid w:val="00CE7209"/>
    <w:rsid w:val="00D41F2D"/>
    <w:rsid w:val="00D7081E"/>
    <w:rsid w:val="00DB2C5A"/>
    <w:rsid w:val="00DB5A46"/>
    <w:rsid w:val="00DC0295"/>
    <w:rsid w:val="00DC5AFB"/>
    <w:rsid w:val="00DF1BBB"/>
    <w:rsid w:val="00E60FCA"/>
    <w:rsid w:val="00EA1E6B"/>
    <w:rsid w:val="00EB2748"/>
    <w:rsid w:val="00F521AC"/>
    <w:rsid w:val="00F74B28"/>
    <w:rsid w:val="00F86472"/>
    <w:rsid w:val="02D40D85"/>
    <w:rsid w:val="0F1935F6"/>
    <w:rsid w:val="21DE1912"/>
    <w:rsid w:val="2A6D1036"/>
    <w:rsid w:val="30DF318F"/>
    <w:rsid w:val="338D478B"/>
    <w:rsid w:val="36553EF9"/>
    <w:rsid w:val="3C12626D"/>
    <w:rsid w:val="46EF7542"/>
    <w:rsid w:val="48EC1C3B"/>
    <w:rsid w:val="514A7858"/>
    <w:rsid w:val="522626FE"/>
    <w:rsid w:val="523D2D1A"/>
    <w:rsid w:val="53AC72F5"/>
    <w:rsid w:val="56F5425B"/>
    <w:rsid w:val="6AD16123"/>
    <w:rsid w:val="6EB357BC"/>
    <w:rsid w:val="748B33EA"/>
    <w:rsid w:val="79BA34E7"/>
    <w:rsid w:val="7AFB5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3">
    <w:name w:val="正文文本缩进 2 Char"/>
    <w:basedOn w:val="7"/>
    <w:link w:val="2"/>
    <w:qFormat/>
    <w:uiPriority w:val="0"/>
    <w:rPr>
      <w:rFonts w:ascii="仿宋_GB2312" w:hAnsi="Calibri" w:eastAsia="仿宋_GB2312" w:cs="Times New Roman"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3637</Words>
  <Characters>3865</Characters>
  <Lines>83</Lines>
  <Paragraphs>23</Paragraphs>
  <TotalTime>2</TotalTime>
  <ScaleCrop>false</ScaleCrop>
  <LinksUpToDate>false</LinksUpToDate>
  <CharactersWithSpaces>4349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lenvov</dc:creator>
  <cp:lastModifiedBy>Administrator</cp:lastModifiedBy>
  <cp:lastPrinted>2022-06-14T07:13:00Z</cp:lastPrinted>
  <dcterms:modified xsi:type="dcterms:W3CDTF">2022-06-24T07:05:19Z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69C96700D2E14F2182AC3EF582110223</vt:lpwstr>
  </property>
</Properties>
</file>