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湖南城陵矶新港区财政支出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66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驻点招商经费                                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eastAsia="zh-CN"/>
        </w:rPr>
        <w:t>城陵矶新港区管理委员会招商联络部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lang w:eastAsia="zh-CN"/>
        </w:rPr>
        <w:t>城陵矶新港区管理委员会</w:t>
      </w:r>
      <w:r>
        <w:rPr>
          <w:rFonts w:hint="eastAsia" w:eastAsia="仿宋_GB2312"/>
          <w:sz w:val="32"/>
          <w:u w:val="single"/>
        </w:rPr>
        <w:t xml:space="preserve">                                     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76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 xml:space="preserve">年 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27</w:t>
      </w:r>
      <w:bookmarkStart w:id="0" w:name="_GoBack"/>
      <w:bookmarkEnd w:id="0"/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hint="eastAsia" w:eastAsia="仿宋_GB2312"/>
          <w:sz w:val="32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4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4"/>
        <w:gridCol w:w="720"/>
        <w:gridCol w:w="71"/>
        <w:gridCol w:w="1144"/>
        <w:gridCol w:w="191"/>
        <w:gridCol w:w="819"/>
        <w:gridCol w:w="178"/>
        <w:gridCol w:w="1287"/>
        <w:gridCol w:w="366"/>
        <w:gridCol w:w="380"/>
        <w:gridCol w:w="826"/>
        <w:gridCol w:w="318"/>
        <w:gridCol w:w="1001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ind w:firstLine="948" w:firstLineChars="40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王虹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18073053007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城陵矶新港区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8143" w:type="dxa"/>
            <w:gridSpan w:val="14"/>
            <w:vAlign w:val="center"/>
          </w:tcPr>
          <w:p>
            <w:pPr>
              <w:ind w:firstLine="1176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</w:t>
            </w:r>
            <w:r>
              <w:rPr>
                <w:rFonts w:hint="eastAsia" w:eastAsia="仿宋_GB2312"/>
                <w:sz w:val="24"/>
              </w:rPr>
              <w:t xml:space="preserve">年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 xml:space="preserve">  月起至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2021</w:t>
            </w:r>
            <w:r>
              <w:rPr>
                <w:rFonts w:hint="eastAsia" w:eastAsia="仿宋_GB2312"/>
                <w:sz w:val="24"/>
              </w:rPr>
              <w:t xml:space="preserve">年    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 xml:space="preserve">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60</w:t>
            </w: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60</w:t>
            </w: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40.18</w:t>
            </w: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60</w:t>
            </w: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60</w:t>
            </w: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40.18</w:t>
            </w: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差旅费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公务接待费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会议费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其他商品和服务支出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物业管理费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租赁费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630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30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贯彻执行国家国内外贸易及国际经济合作的发展战略，有效推进招商引资和区域合作，为港区招商引资的组织、协调、监督、统计工作提供服务，促进本区招商引资快速发展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达到年初绩效目标管理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项目产出指标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数量指标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引进固定资产投资500万元以上、注册资本500万元以上的项目不少于1个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对引进项目建设情况定期调度，确保进度，按时报送数据，确保新开工项目5个，新竣工项目5个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质量指标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引后的企业入区率100%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时效指标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zCs w:val="24"/>
              </w:rPr>
              <w:t>及时报送工作报告、重大事项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按计划完成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成本指标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按财政预算实施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未超预算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项目效益指标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经济效益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每年引进固定资产投资500万元以上、注册资本500万元以上的项目不少于1个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社会效益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提升新港区在500强企业中的知名度影响力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投资企业环保达标率100%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公众满意度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317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4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刘倩云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办公室主任</w:t>
            </w:r>
          </w:p>
        </w:tc>
        <w:tc>
          <w:tcPr>
            <w:tcW w:w="3177" w:type="dxa"/>
            <w:gridSpan w:val="5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招商联络部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4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王虹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科员</w:t>
            </w:r>
          </w:p>
        </w:tc>
        <w:tc>
          <w:tcPr>
            <w:tcW w:w="3177" w:type="dxa"/>
            <w:gridSpan w:val="5"/>
            <w:vAlign w:val="center"/>
          </w:tcPr>
          <w:p>
            <w:pPr>
              <w:jc w:val="center"/>
              <w:rPr>
                <w:rFonts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招商联络部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77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exact"/>
          <w:jc w:val="center"/>
        </w:trPr>
        <w:tc>
          <w:tcPr>
            <w:tcW w:w="9582" w:type="dxa"/>
            <w:gridSpan w:val="15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exact"/>
          <w:jc w:val="center"/>
        </w:trPr>
        <w:tc>
          <w:tcPr>
            <w:tcW w:w="9582" w:type="dxa"/>
            <w:gridSpan w:val="15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36"/>
                <w:szCs w:val="36"/>
              </w:rPr>
            </w:pP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b/>
                <w:bCs/>
                <w:sz w:val="36"/>
                <w:szCs w:val="36"/>
              </w:rPr>
            </w:pPr>
            <w:r>
              <w:rPr>
                <w:rFonts w:hint="eastAsia" w:eastAsia="仿宋_GB2312"/>
                <w:b/>
                <w:bCs/>
                <w:sz w:val="36"/>
                <w:szCs w:val="36"/>
              </w:rPr>
              <w:t>评价报告综述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仿宋_GB2312"/>
                <w:b/>
                <w:bCs/>
                <w:sz w:val="36"/>
                <w:szCs w:val="36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</w:rPr>
              <w:t>根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据《中共中央国务院关于全面实施预算绩效管理的意见》要求，现对我单位驻点招商经费资金支出使用管理的绩效情况，开展了绩效自评工作，现将情况汇报如下：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项目基本概况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</w:rPr>
              <w:t>贯彻执行国家国内外贸易及国际经济合作的发展战略，有效推进招商引资和区域合作，为港区招商引资的组织、协调、监督、统计工作提供服务，促进本区招商引资快速发展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项目资金使用及管理情况</w:t>
            </w:r>
          </w:p>
          <w:p>
            <w:pPr>
              <w:pStyle w:val="3"/>
              <w:widowControl w:val="0"/>
              <w:spacing w:before="0" w:beforeAutospacing="0" w:after="0" w:afterAutospacing="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1、项目资金到位情况。截止2021年12月31日，我单位收到财政拨入驻点招商经费60万元。</w:t>
            </w:r>
          </w:p>
          <w:p>
            <w:pPr>
              <w:pStyle w:val="3"/>
              <w:widowControl w:val="0"/>
              <w:spacing w:before="0" w:beforeAutospacing="0" w:after="0" w:afterAutospacing="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　　2、项目资金实际使用情况分析。我单位2021年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驻点招商经费</w:t>
            </w: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实际支出40.18万元，项目支出依照《会计法》、《会计基础工作规范》、《行政单位财务制度》、《行政单位会计制度》、《国库集中支付管理规定》和《本单位财务管理制度》与财政年初预算安排的行政运行资金集合管理使用，采取总量控制、计划管理，按预算科目和项目资金的使用规定，坚持勤俭节约、量入为出，保证重点、兼顾一般、从严控制，以保证财政资金的安全和高效运行。</w:t>
            </w:r>
          </w:p>
          <w:p>
            <w:pPr>
              <w:pStyle w:val="3"/>
              <w:widowControl w:val="0"/>
              <w:spacing w:before="0" w:beforeAutospacing="0" w:after="0" w:afterAutospacing="0"/>
              <w:ind w:firstLine="48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3、项目资金管理情况分析。严格落实项目资金管理办法，严格审批流程，对所有的项目执行情况，由财务、分管负责人、部门负责人、主管领导共同把关，确保资金管理到位，使用安全。</w:t>
            </w:r>
          </w:p>
          <w:p>
            <w:p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（三）项目组织实施情况</w:t>
            </w:r>
          </w:p>
          <w:p>
            <w:pPr>
              <w:pStyle w:val="3"/>
              <w:widowControl w:val="0"/>
              <w:spacing w:before="0" w:beforeAutospacing="0" w:after="0" w:afterAutospacing="0"/>
              <w:ind w:firstLine="48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</w:t>
            </w: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1、项目组织情况分析。对五万元以上的项目严格进行财评，对招投标的项目严格按程序进行，每个项目完成后，组织相关部门人员共同进行验收，对不达标的服务内容必须整改到位，否则不予认定不予支付，切实保障服务项目与服务要求一致。</w:t>
            </w:r>
          </w:p>
          <w:p>
            <w:pPr>
              <w:pStyle w:val="3"/>
              <w:widowControl w:val="0"/>
              <w:spacing w:before="0" w:beforeAutospacing="0" w:after="0" w:afterAutospacing="0"/>
              <w:ind w:firstLine="48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　2、项目管理情况分析。项目推进过程中，定期对服务项目开展督促，严格按时间进度进行评价，并作为考核合作单位的依据。邀请各部门宣传委员对宣传项目情况进行督查，提高监督的广度和密度。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（四）</w:t>
            </w:r>
            <w:r>
              <w:rPr>
                <w:rFonts w:hint="eastAsia" w:eastAsia="仿宋_GB2312"/>
                <w:sz w:val="30"/>
                <w:szCs w:val="30"/>
              </w:rPr>
              <w:t>综合评价情况及评价结论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1、本年预算配置控制较好。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2、预算执行方面，支出总额控制在预算总额以内；不存在截留或滞留专项资金情况。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预算管理方面，制度执行总体较为有效，仍需进一步强化；资金使用管理需进一步加强。</w:t>
            </w:r>
          </w:p>
          <w:p>
            <w:p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（五）项目主要绩效情况分析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根据自评绩效评分细则，我部严格执行预算管理、防止各种违反财经纪律的行为、保障重点、量入为出、收支平衡的原则，提高了资金使用效益， 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财源建设奖励资金</w:t>
            </w:r>
            <w:r>
              <w:rPr>
                <w:rFonts w:hint="eastAsia" w:eastAsia="仿宋_GB2312"/>
                <w:sz w:val="30"/>
                <w:szCs w:val="30"/>
              </w:rPr>
              <w:t>在项目绩效考核评价中自评合格率100%,优良率95%以上。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3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主要经验及做法、存在问题和建议</w:t>
            </w:r>
          </w:p>
          <w:p>
            <w:pPr>
              <w:pStyle w:val="3"/>
              <w:spacing w:before="0" w:beforeAutospacing="0" w:after="0" w:afterAutospacing="0" w:line="33" w:lineRule="atLeast"/>
              <w:ind w:firstLine="891" w:firstLineChars="30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1.预算编制有待进一步加强，确保预算执行力度。预算管理制度不够健全，相应的管理制度还需要更加有效地执行。</w:t>
            </w:r>
          </w:p>
          <w:p>
            <w:pPr>
              <w:spacing w:line="560" w:lineRule="exact"/>
              <w:ind w:firstLine="594" w:firstLineChars="200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2.是资金安排并用于产生生态效益、经济效益的活动、项目有待于探索和加强。</w:t>
            </w:r>
          </w:p>
          <w:p>
            <w:pPr>
              <w:spacing w:line="560" w:lineRule="exact"/>
              <w:ind w:firstLine="594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加强学习。建议组织财务人员和部门工作人员预算、绩效工作培训，加强预算、绩效管理意识。严格财务审核，按照预算规定的项目进行财务核算，在预算金额内严格控制费用开支。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/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4" w:beforeLines="50" w:after="304" w:afterLines="50" w:line="560" w:lineRule="exact"/>
        <w:jc w:val="center"/>
        <w:textAlignment w:val="auto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4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98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>
      <w:pPr>
        <w:adjustRightInd w:val="0"/>
        <w:snapToGrid w:val="0"/>
        <w:spacing w:line="640" w:lineRule="exact"/>
        <w:contextualSpacing/>
        <w:rPr>
          <w:rFonts w:hint="eastAsia"/>
          <w:sz w:val="28"/>
          <w:szCs w:val="28"/>
        </w:rPr>
      </w:pPr>
    </w:p>
    <w:p/>
    <w:sectPr>
      <w:pgSz w:w="11906" w:h="16838"/>
      <w:pgMar w:top="1588" w:right="1588" w:bottom="1588" w:left="1588" w:header="851" w:footer="992" w:gutter="0"/>
      <w:pgNumType w:start="1"/>
      <w:cols w:space="720" w:num="1"/>
      <w:docGrid w:type="linesAndChars" w:linePitch="602" w:charSpace="-7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36E29"/>
    <w:multiLevelType w:val="singleLevel"/>
    <w:tmpl w:val="19836E2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BBDE222"/>
    <w:multiLevelType w:val="singleLevel"/>
    <w:tmpl w:val="1BBDE22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FB9F93"/>
    <w:multiLevelType w:val="singleLevel"/>
    <w:tmpl w:val="2CFB9F93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Nzk0Mzg2ZmIyNjJhYTA0MjM0N2FmNzg0NTY3NmQifQ=="/>
  </w:docVars>
  <w:rsids>
    <w:rsidRoot w:val="0D8E66ED"/>
    <w:rsid w:val="001C5989"/>
    <w:rsid w:val="017A5EF0"/>
    <w:rsid w:val="01DC3277"/>
    <w:rsid w:val="0284720D"/>
    <w:rsid w:val="02E04D7E"/>
    <w:rsid w:val="03A742FC"/>
    <w:rsid w:val="06285FC9"/>
    <w:rsid w:val="06F16C00"/>
    <w:rsid w:val="07E964EF"/>
    <w:rsid w:val="08960C42"/>
    <w:rsid w:val="0A82011E"/>
    <w:rsid w:val="0AA50272"/>
    <w:rsid w:val="0B8210A0"/>
    <w:rsid w:val="0D8E66ED"/>
    <w:rsid w:val="0F7D06F6"/>
    <w:rsid w:val="0FAB490E"/>
    <w:rsid w:val="1220238E"/>
    <w:rsid w:val="12364C36"/>
    <w:rsid w:val="124D7D31"/>
    <w:rsid w:val="12D24479"/>
    <w:rsid w:val="156C3923"/>
    <w:rsid w:val="15D5168F"/>
    <w:rsid w:val="16F041E6"/>
    <w:rsid w:val="18487F66"/>
    <w:rsid w:val="18933DE3"/>
    <w:rsid w:val="18BF6B43"/>
    <w:rsid w:val="18D906B6"/>
    <w:rsid w:val="194D7851"/>
    <w:rsid w:val="1A162C57"/>
    <w:rsid w:val="1AF316AE"/>
    <w:rsid w:val="1CD8691D"/>
    <w:rsid w:val="1D2E09A3"/>
    <w:rsid w:val="1D57292E"/>
    <w:rsid w:val="1D940EAF"/>
    <w:rsid w:val="1DB767CD"/>
    <w:rsid w:val="1F212BA8"/>
    <w:rsid w:val="209169AC"/>
    <w:rsid w:val="21D3341E"/>
    <w:rsid w:val="22B17F28"/>
    <w:rsid w:val="254A24D7"/>
    <w:rsid w:val="26833E1A"/>
    <w:rsid w:val="26CB0C69"/>
    <w:rsid w:val="287B2B6B"/>
    <w:rsid w:val="2A3F1843"/>
    <w:rsid w:val="2ABA4949"/>
    <w:rsid w:val="2C035057"/>
    <w:rsid w:val="2C1A2AA3"/>
    <w:rsid w:val="2DD418A0"/>
    <w:rsid w:val="30B973ED"/>
    <w:rsid w:val="31731CD0"/>
    <w:rsid w:val="31A96801"/>
    <w:rsid w:val="32B0724F"/>
    <w:rsid w:val="333202BC"/>
    <w:rsid w:val="3588516C"/>
    <w:rsid w:val="36093EED"/>
    <w:rsid w:val="379A3058"/>
    <w:rsid w:val="383A5645"/>
    <w:rsid w:val="38A533AF"/>
    <w:rsid w:val="39F262B7"/>
    <w:rsid w:val="3A76445D"/>
    <w:rsid w:val="3AE61C4B"/>
    <w:rsid w:val="3B416548"/>
    <w:rsid w:val="3BDF682E"/>
    <w:rsid w:val="3DD218FB"/>
    <w:rsid w:val="3F0D190C"/>
    <w:rsid w:val="3FCB30DE"/>
    <w:rsid w:val="40C725C8"/>
    <w:rsid w:val="41D9274B"/>
    <w:rsid w:val="42267583"/>
    <w:rsid w:val="423E5018"/>
    <w:rsid w:val="438C3464"/>
    <w:rsid w:val="459F7DA8"/>
    <w:rsid w:val="46781857"/>
    <w:rsid w:val="472459A9"/>
    <w:rsid w:val="472C1271"/>
    <w:rsid w:val="491055EA"/>
    <w:rsid w:val="4BA73E76"/>
    <w:rsid w:val="4BB33236"/>
    <w:rsid w:val="4E123E12"/>
    <w:rsid w:val="4ED86A7F"/>
    <w:rsid w:val="4F463F67"/>
    <w:rsid w:val="50007C6A"/>
    <w:rsid w:val="506A561B"/>
    <w:rsid w:val="53CD2C88"/>
    <w:rsid w:val="54C072C1"/>
    <w:rsid w:val="575111CE"/>
    <w:rsid w:val="57730412"/>
    <w:rsid w:val="59483E65"/>
    <w:rsid w:val="595039E2"/>
    <w:rsid w:val="5B831654"/>
    <w:rsid w:val="5BE95691"/>
    <w:rsid w:val="5D8B7B64"/>
    <w:rsid w:val="5FE820CC"/>
    <w:rsid w:val="61477AF4"/>
    <w:rsid w:val="61F5280C"/>
    <w:rsid w:val="648E0CC1"/>
    <w:rsid w:val="65885042"/>
    <w:rsid w:val="65982132"/>
    <w:rsid w:val="662D0E08"/>
    <w:rsid w:val="67E57E69"/>
    <w:rsid w:val="68F14305"/>
    <w:rsid w:val="6AFC7876"/>
    <w:rsid w:val="6B085C5E"/>
    <w:rsid w:val="6B696FE6"/>
    <w:rsid w:val="6B955CEF"/>
    <w:rsid w:val="6BF92266"/>
    <w:rsid w:val="6DA77E9C"/>
    <w:rsid w:val="6EA377E8"/>
    <w:rsid w:val="6F50769C"/>
    <w:rsid w:val="70AB0661"/>
    <w:rsid w:val="70AC59D4"/>
    <w:rsid w:val="70FC40A8"/>
    <w:rsid w:val="714B0BE4"/>
    <w:rsid w:val="73C30FF4"/>
    <w:rsid w:val="73E84A25"/>
    <w:rsid w:val="74924E5D"/>
    <w:rsid w:val="74ED19CF"/>
    <w:rsid w:val="750C2746"/>
    <w:rsid w:val="75A8130B"/>
    <w:rsid w:val="75BB4D7F"/>
    <w:rsid w:val="789C2023"/>
    <w:rsid w:val="791945D0"/>
    <w:rsid w:val="791C0F2F"/>
    <w:rsid w:val="796707D9"/>
    <w:rsid w:val="7A175CEB"/>
    <w:rsid w:val="7A9614A3"/>
    <w:rsid w:val="7AC836A2"/>
    <w:rsid w:val="7BD96277"/>
    <w:rsid w:val="7DCC75EF"/>
    <w:rsid w:val="7F462CD6"/>
    <w:rsid w:val="7FF7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3696</Words>
  <Characters>3872</Characters>
  <Lines>0</Lines>
  <Paragraphs>0</Paragraphs>
  <TotalTime>8</TotalTime>
  <ScaleCrop>false</ScaleCrop>
  <LinksUpToDate>false</LinksUpToDate>
  <CharactersWithSpaces>4467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2021-07-13T06:14:00Z</dcterms:created>
  <dc:creator>Administrator</dc:creator>
  <cp:lastModifiedBy>Luka</cp:lastModifiedBy>
  <cp:lastPrinted>2022-06-27T09:35:18Z</cp:lastPrinted>
  <dcterms:modified xsi:type="dcterms:W3CDTF">2022-06-27T09:35:54Z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17FF4770E7FE47928A718D4C552970E0</vt:lpwstr>
  </property>
</Properties>
</file>