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jc w:val="center"/>
        <w:rPr>
          <w:rFonts w:eastAsia="方正小标宋简体"/>
          <w:bCs/>
          <w:sz w:val="42"/>
          <w:szCs w:val="42"/>
        </w:rPr>
      </w:pPr>
    </w:p>
    <w:p>
      <w:pPr>
        <w:pStyle w:val="2"/>
        <w:rPr>
          <w:rFonts w:eastAsia="方正小标宋简体"/>
          <w:bCs/>
          <w:sz w:val="42"/>
          <w:szCs w:val="42"/>
        </w:rPr>
      </w:pPr>
    </w:p>
    <w:p>
      <w:pPr>
        <w:spacing w:line="800" w:lineRule="exact"/>
        <w:jc w:val="both"/>
        <w:rPr>
          <w:rFonts w:eastAsia="方正小标宋简体"/>
          <w:bCs/>
          <w:sz w:val="46"/>
          <w:szCs w:val="46"/>
        </w:rPr>
      </w:pPr>
    </w:p>
    <w:p>
      <w:pPr>
        <w:spacing w:line="800" w:lineRule="exact"/>
        <w:jc w:val="center"/>
        <w:rPr>
          <w:rFonts w:eastAsia="方正小标宋简体"/>
          <w:bCs/>
          <w:sz w:val="46"/>
          <w:szCs w:val="46"/>
        </w:rPr>
      </w:pPr>
      <w:r>
        <w:rPr>
          <w:rFonts w:hint="eastAsia" w:eastAsia="方正小标宋简体"/>
          <w:bCs/>
          <w:sz w:val="46"/>
          <w:szCs w:val="46"/>
        </w:rPr>
        <w:t>湖南城陵矶新港区</w:t>
      </w:r>
      <w:r>
        <w:rPr>
          <w:rFonts w:hint="eastAsia" w:eastAsia="方正小标宋简体"/>
          <w:bCs/>
          <w:sz w:val="46"/>
          <w:szCs w:val="46"/>
          <w:u w:val="single"/>
        </w:rPr>
        <w:t>20</w:t>
      </w:r>
      <w:r>
        <w:rPr>
          <w:rFonts w:hint="eastAsia" w:eastAsia="方正小标宋简体"/>
          <w:bCs/>
          <w:sz w:val="46"/>
          <w:szCs w:val="46"/>
          <w:u w:val="single"/>
          <w:lang w:val="en-US" w:eastAsia="zh-CN"/>
        </w:rPr>
        <w:t>20</w:t>
      </w:r>
      <w:r>
        <w:rPr>
          <w:rFonts w:hint="eastAsia" w:eastAsia="方正小标宋简体"/>
          <w:bCs/>
          <w:sz w:val="46"/>
          <w:szCs w:val="46"/>
        </w:rPr>
        <w:t>年度部门</w:t>
      </w:r>
    </w:p>
    <w:p>
      <w:pPr>
        <w:spacing w:line="800" w:lineRule="exact"/>
        <w:jc w:val="center"/>
        <w:rPr>
          <w:rFonts w:eastAsia="方正小标宋简体"/>
          <w:bCs/>
          <w:sz w:val="46"/>
          <w:szCs w:val="46"/>
        </w:rPr>
      </w:pPr>
      <w:r>
        <w:rPr>
          <w:rFonts w:hint="eastAsia" w:eastAsia="方正小标宋简体"/>
          <w:bCs/>
          <w:sz w:val="46"/>
          <w:szCs w:val="46"/>
        </w:rPr>
        <w:t>整体支出绩效评价自评报告</w:t>
      </w:r>
    </w:p>
    <w:p>
      <w:pPr>
        <w:rPr>
          <w:rFonts w:eastAsia="仿宋_GB2312"/>
          <w:b/>
          <w:sz w:val="32"/>
        </w:rPr>
      </w:pPr>
    </w:p>
    <w:p>
      <w:pPr>
        <w:pStyle w:val="2"/>
      </w:pPr>
    </w:p>
    <w:p>
      <w:pPr>
        <w:rPr>
          <w:rFonts w:eastAsia="仿宋_GB2312"/>
          <w:b/>
          <w:sz w:val="32"/>
        </w:rPr>
      </w:pP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80" w:firstLineChars="150"/>
        <w:rPr>
          <w:rFonts w:eastAsia="仿宋_GB2312"/>
          <w:sz w:val="32"/>
          <w:szCs w:val="32"/>
          <w:u w:val="single"/>
        </w:rPr>
      </w:pPr>
      <w:r>
        <w:rPr>
          <w:rFonts w:hint="eastAsia" w:eastAsia="仿宋_GB2312"/>
          <w:sz w:val="32"/>
          <w:szCs w:val="32"/>
        </w:rPr>
        <w:t>部门名称：</w:t>
      </w:r>
      <w:r>
        <w:rPr>
          <w:rFonts w:hint="eastAsia" w:eastAsia="仿宋_GB2312"/>
          <w:sz w:val="32"/>
          <w:szCs w:val="32"/>
          <w:u w:val="single"/>
        </w:rPr>
        <w:t>湖南城陵矶新港区科技创业服务中心</w:t>
      </w:r>
    </w:p>
    <w:p>
      <w:pPr>
        <w:spacing w:beforeLines="50" w:line="348" w:lineRule="auto"/>
        <w:ind w:firstLine="480"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算编码：</w:t>
      </w:r>
      <w:r>
        <w:rPr>
          <w:rFonts w:hint="eastAsia" w:eastAsia="仿宋_GB2312"/>
          <w:spacing w:val="20"/>
          <w:sz w:val="32"/>
          <w:szCs w:val="32"/>
          <w:u w:val="single"/>
        </w:rPr>
        <w:t>019001</w:t>
      </w:r>
    </w:p>
    <w:p>
      <w:pPr>
        <w:spacing w:beforeLines="50" w:line="348" w:lineRule="auto"/>
        <w:ind w:firstLine="480"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80"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208" w:firstLineChars="690"/>
        <w:rPr>
          <w:rFonts w:eastAsia="仿宋_GB2312"/>
          <w:sz w:val="32"/>
        </w:rPr>
      </w:pPr>
    </w:p>
    <w:p>
      <w:pPr>
        <w:spacing w:line="720" w:lineRule="exact"/>
        <w:ind w:firstLine="2208" w:firstLineChars="690"/>
        <w:rPr>
          <w:rFonts w:eastAsia="仿宋_GB2312"/>
          <w:sz w:val="32"/>
        </w:rPr>
      </w:pPr>
    </w:p>
    <w:p>
      <w:pPr>
        <w:spacing w:line="720" w:lineRule="exact"/>
        <w:ind w:firstLine="2208" w:firstLineChars="690"/>
        <w:rPr>
          <w:rFonts w:eastAsia="仿宋_GB2312"/>
          <w:sz w:val="32"/>
        </w:rPr>
      </w:pPr>
    </w:p>
    <w:p>
      <w:pPr>
        <w:spacing w:line="720" w:lineRule="exact"/>
        <w:ind w:firstLine="2208" w:firstLineChars="690"/>
        <w:rPr>
          <w:rFonts w:eastAsia="仿宋_GB2312"/>
          <w:sz w:val="32"/>
        </w:rPr>
      </w:pPr>
    </w:p>
    <w:p>
      <w:pPr>
        <w:spacing w:line="348" w:lineRule="auto"/>
        <w:jc w:val="center"/>
        <w:rPr>
          <w:rFonts w:eastAsia="仿宋_GB2312"/>
          <w:sz w:val="32"/>
        </w:rPr>
      </w:pPr>
      <w:r>
        <w:rPr>
          <w:rFonts w:hint="eastAsia" w:eastAsia="仿宋_GB2312"/>
          <w:sz w:val="32"/>
        </w:rPr>
        <w:t>报告日期：202</w:t>
      </w:r>
      <w:r>
        <w:rPr>
          <w:rFonts w:hint="eastAsia" w:eastAsia="仿宋_GB2312"/>
          <w:sz w:val="32"/>
          <w:lang w:val="en-US" w:eastAsia="zh-CN"/>
        </w:rPr>
        <w:t>1</w:t>
      </w:r>
      <w:r>
        <w:rPr>
          <w:rFonts w:hint="eastAsia" w:eastAsia="仿宋_GB2312"/>
          <w:sz w:val="32"/>
        </w:rPr>
        <w:t xml:space="preserve">年 </w:t>
      </w:r>
      <w:r>
        <w:rPr>
          <w:rFonts w:hint="eastAsia" w:eastAsia="仿宋_GB2312"/>
          <w:sz w:val="32"/>
          <w:lang w:val="en-US" w:eastAsia="zh-CN"/>
        </w:rPr>
        <w:t>7</w:t>
      </w:r>
      <w:r>
        <w:rPr>
          <w:rFonts w:hint="eastAsia" w:eastAsia="仿宋_GB2312"/>
          <w:sz w:val="32"/>
        </w:rPr>
        <w:t xml:space="preserve">月 </w:t>
      </w:r>
      <w:r>
        <w:rPr>
          <w:rFonts w:hint="eastAsia" w:eastAsia="仿宋_GB2312"/>
          <w:sz w:val="32"/>
          <w:lang w:val="en-US" w:eastAsia="zh-CN"/>
        </w:rPr>
        <w:t>2</w:t>
      </w:r>
      <w:r>
        <w:rPr>
          <w:rFonts w:hint="eastAsia" w:eastAsia="仿宋_GB2312"/>
          <w:sz w:val="32"/>
        </w:rPr>
        <w:t>日</w:t>
      </w:r>
    </w:p>
    <w:tbl>
      <w:tblPr>
        <w:tblStyle w:val="7"/>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705"/>
        <w:gridCol w:w="196"/>
        <w:gridCol w:w="259"/>
        <w:gridCol w:w="60"/>
        <w:gridCol w:w="921"/>
        <w:gridCol w:w="364"/>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李苏宇</w:t>
            </w:r>
          </w:p>
        </w:tc>
        <w:tc>
          <w:tcPr>
            <w:tcW w:w="222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236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0730-8422566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2人</w:t>
            </w:r>
          </w:p>
        </w:tc>
        <w:tc>
          <w:tcPr>
            <w:tcW w:w="222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236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882"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ind w:firstLine="480"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科创中心是湖南城陵矶新港区科技创新创业及军民融合产业发展工作服务部门。主要职能包括科技计划项目审查推荐、孵化器建设及管理、高新技术企业认定推荐、双创平台建设、成果转化等科技职能；军民融合产业规划、政策拟定、项目招商等军民融合工作职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78"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任务1：</w:t>
            </w:r>
            <w:r>
              <w:rPr>
                <w:rFonts w:hint="eastAsia" w:ascii="仿宋_GB2312" w:hAnsi="仿宋_GB2312" w:eastAsia="仿宋_GB2312" w:cs="仿宋_GB2312"/>
                <w:color w:val="000000"/>
                <w:sz w:val="24"/>
                <w:lang w:eastAsia="zh-CN"/>
              </w:rPr>
              <w:t>推动获批</w:t>
            </w:r>
            <w:r>
              <w:rPr>
                <w:rFonts w:hint="eastAsia" w:ascii="仿宋_GB2312" w:hAnsi="仿宋_GB2312" w:eastAsia="仿宋_GB2312" w:cs="仿宋_GB2312"/>
                <w:color w:val="000000"/>
                <w:sz w:val="24"/>
              </w:rPr>
              <w:t>国家高新区</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任务2：完善创新创业平台</w:t>
            </w:r>
          </w:p>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任务3：培育</w:t>
            </w:r>
            <w:r>
              <w:rPr>
                <w:rFonts w:hint="eastAsia" w:ascii="仿宋_GB2312" w:hAnsi="仿宋_GB2312" w:eastAsia="仿宋_GB2312" w:cs="仿宋_GB2312"/>
                <w:color w:val="000000"/>
                <w:sz w:val="24"/>
                <w:lang w:eastAsia="zh-CN"/>
              </w:rPr>
              <w:t>高新技术企业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049"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autoSpaceDN w:val="0"/>
              <w:spacing w:line="320" w:lineRule="exact"/>
              <w:ind w:firstLine="480" w:firstLineChars="200"/>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在党工委、管委会的领导下，科创中心贯彻落实习近平总书记“三高四新”湖南讲话指示精神，全力推进高新企业申报、创建协同创新平台、培育企业的自主创新能力。</w:t>
            </w:r>
            <w:r>
              <w:rPr>
                <w:rFonts w:hint="eastAsia" w:ascii="仿宋_GB2312" w:hAnsi="仿宋_GB2312" w:eastAsia="仿宋_GB2312" w:cs="仿宋_GB2312"/>
                <w:color w:val="000000"/>
                <w:sz w:val="24"/>
                <w:lang w:eastAsia="zh-CN"/>
              </w:rPr>
              <w:t>全区技工贸收入</w:t>
            </w:r>
            <w:r>
              <w:rPr>
                <w:rFonts w:hint="eastAsia" w:ascii="仿宋_GB2312" w:hAnsi="仿宋_GB2312" w:eastAsia="仿宋_GB2312" w:cs="仿宋_GB2312"/>
                <w:color w:val="000000"/>
                <w:sz w:val="24"/>
                <w:lang w:val="en-US" w:eastAsia="zh-CN"/>
              </w:rPr>
              <w:t>645.22</w:t>
            </w:r>
            <w:r>
              <w:rPr>
                <w:rFonts w:hint="eastAsia" w:ascii="仿宋_GB2312" w:hAnsi="仿宋_GB2312" w:eastAsia="仿宋_GB2312" w:cs="仿宋_GB2312"/>
                <w:color w:val="000000"/>
                <w:sz w:val="24"/>
                <w:lang w:eastAsia="zh-CN"/>
              </w:rPr>
              <w:t>亿元，同比增长</w:t>
            </w:r>
            <w:r>
              <w:rPr>
                <w:rFonts w:hint="eastAsia" w:ascii="仿宋_GB2312" w:hAnsi="仿宋_GB2312" w:eastAsia="仿宋_GB2312" w:cs="仿宋_GB2312"/>
                <w:color w:val="000000"/>
                <w:sz w:val="24"/>
                <w:lang w:val="en-US" w:eastAsia="zh-CN"/>
              </w:rPr>
              <w:t>72.41</w:t>
            </w:r>
            <w:r>
              <w:rPr>
                <w:rFonts w:hint="eastAsia" w:ascii="仿宋_GB2312" w:hAnsi="仿宋_GB2312" w:eastAsia="仿宋_GB2312" w:cs="仿宋_GB2312"/>
                <w:color w:val="000000"/>
                <w:sz w:val="24"/>
                <w:lang w:eastAsia="zh-CN"/>
              </w:rPr>
              <w:t>%。高新技术产业主营收入</w:t>
            </w:r>
            <w:r>
              <w:rPr>
                <w:rFonts w:hint="eastAsia" w:ascii="仿宋_GB2312" w:hAnsi="仿宋_GB2312" w:eastAsia="仿宋_GB2312" w:cs="仿宋_GB2312"/>
                <w:color w:val="000000"/>
                <w:sz w:val="24"/>
                <w:lang w:val="en-US" w:eastAsia="zh-CN"/>
              </w:rPr>
              <w:t>266.91</w:t>
            </w:r>
            <w:r>
              <w:rPr>
                <w:rFonts w:hint="eastAsia" w:ascii="仿宋_GB2312" w:hAnsi="仿宋_GB2312" w:eastAsia="仿宋_GB2312" w:cs="仿宋_GB2312"/>
                <w:color w:val="000000"/>
                <w:sz w:val="24"/>
                <w:lang w:eastAsia="zh-CN"/>
              </w:rPr>
              <w:t>亿元，同比增长</w:t>
            </w:r>
            <w:r>
              <w:rPr>
                <w:rFonts w:hint="eastAsia" w:ascii="仿宋_GB2312" w:hAnsi="仿宋_GB2312" w:eastAsia="仿宋_GB2312" w:cs="仿宋_GB2312"/>
                <w:color w:val="000000"/>
                <w:sz w:val="24"/>
                <w:lang w:val="en-US" w:eastAsia="zh-CN"/>
              </w:rPr>
              <w:t>47.14</w:t>
            </w:r>
            <w:r>
              <w:rPr>
                <w:rFonts w:hint="eastAsia" w:ascii="仿宋_GB2312" w:hAnsi="仿宋_GB2312" w:eastAsia="仿宋_GB2312" w:cs="仿宋_GB2312"/>
                <w:color w:val="000000"/>
                <w:sz w:val="24"/>
                <w:lang w:eastAsia="zh-CN"/>
              </w:rPr>
              <w:t>%；园区高新技术企业新增</w:t>
            </w:r>
            <w:r>
              <w:rPr>
                <w:rFonts w:hint="eastAsia" w:ascii="仿宋_GB2312" w:hAnsi="仿宋_GB2312" w:eastAsia="仿宋_GB2312" w:cs="仿宋_GB2312"/>
                <w:color w:val="000000"/>
                <w:sz w:val="24"/>
                <w:lang w:val="en-US" w:eastAsia="zh-CN"/>
              </w:rPr>
              <w:t>14家</w:t>
            </w:r>
            <w:r>
              <w:rPr>
                <w:rFonts w:hint="eastAsia" w:ascii="仿宋_GB2312" w:hAnsi="仿宋_GB2312" w:eastAsia="仿宋_GB2312" w:cs="仿宋_GB2312"/>
                <w:color w:val="000000"/>
                <w:sz w:val="24"/>
                <w:lang w:eastAsia="zh-CN"/>
              </w:rPr>
              <w:t>，同比增长</w:t>
            </w:r>
            <w:r>
              <w:rPr>
                <w:rFonts w:hint="eastAsia" w:ascii="仿宋_GB2312" w:hAnsi="仿宋_GB2312" w:eastAsia="仿宋_GB2312" w:cs="仿宋_GB2312"/>
                <w:color w:val="000000"/>
                <w:sz w:val="24"/>
                <w:lang w:val="en-US" w:eastAsia="zh-CN"/>
              </w:rPr>
              <w:t>56</w:t>
            </w:r>
            <w:r>
              <w:rPr>
                <w:rFonts w:hint="eastAsia" w:ascii="仿宋_GB2312" w:hAnsi="仿宋_GB2312" w:eastAsia="仿宋_GB2312" w:cs="仿宋_GB2312"/>
                <w:color w:val="000000"/>
                <w:sz w:val="24"/>
                <w:lang w:eastAsia="zh-CN"/>
              </w:rPr>
              <w:t>%。</w:t>
            </w:r>
          </w:p>
          <w:p>
            <w:pPr>
              <w:autoSpaceDN w:val="0"/>
              <w:spacing w:line="320" w:lineRule="exact"/>
              <w:ind w:firstLine="480" w:firstLineChars="200"/>
              <w:jc w:val="left"/>
              <w:textAlignment w:val="center"/>
              <w:rPr>
                <w:rFonts w:hint="eastAsia" w:ascii="黑体" w:hAnsi="黑体" w:eastAsia="黑体" w:cs="黑体"/>
                <w:b w:val="0"/>
                <w:bCs w:val="0"/>
                <w:color w:val="000000"/>
                <w:sz w:val="24"/>
                <w:lang w:eastAsia="zh-CN"/>
              </w:rPr>
            </w:pPr>
            <w:r>
              <w:rPr>
                <w:rFonts w:hint="eastAsia" w:ascii="黑体" w:hAnsi="黑体" w:eastAsia="黑体" w:cs="黑体"/>
                <w:b w:val="0"/>
                <w:bCs w:val="0"/>
                <w:color w:val="000000"/>
                <w:sz w:val="24"/>
                <w:lang w:eastAsia="zh-CN"/>
              </w:rPr>
              <w:t>（一）国家高新区获批在即</w:t>
            </w:r>
          </w:p>
          <w:p>
            <w:pPr>
              <w:autoSpaceDN w:val="0"/>
              <w:spacing w:line="320" w:lineRule="exact"/>
              <w:ind w:firstLine="480" w:firstLineChars="2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2020年1月，科技部下发了“岳阳高新区升级为国家高新区意见的函”，按照党工委、管委会的要求，征求了社发、自然资源等5部门意见上报科技部。2次</w:t>
            </w:r>
            <w:r>
              <w:rPr>
                <w:rFonts w:hint="eastAsia" w:ascii="仿宋_GB2312" w:hAnsi="仿宋_GB2312" w:eastAsia="仿宋_GB2312" w:cs="仿宋_GB2312"/>
                <w:color w:val="000000"/>
                <w:sz w:val="24"/>
              </w:rPr>
              <w:t>赴科技部</w:t>
            </w:r>
            <w:r>
              <w:rPr>
                <w:rFonts w:hint="eastAsia" w:ascii="仿宋_GB2312" w:hAnsi="仿宋_GB2312" w:eastAsia="仿宋_GB2312" w:cs="仿宋_GB2312"/>
                <w:color w:val="000000"/>
                <w:sz w:val="24"/>
                <w:lang w:eastAsia="zh-CN"/>
              </w:rPr>
              <w:t>汇报</w:t>
            </w:r>
            <w:r>
              <w:rPr>
                <w:rFonts w:hint="eastAsia" w:ascii="仿宋_GB2312" w:hAnsi="仿宋_GB2312" w:eastAsia="仿宋_GB2312" w:cs="仿宋_GB2312"/>
                <w:color w:val="000000"/>
                <w:sz w:val="24"/>
              </w:rPr>
              <w:t>岳阳国家高新区</w:t>
            </w:r>
            <w:r>
              <w:rPr>
                <w:rFonts w:hint="eastAsia" w:ascii="仿宋_GB2312" w:hAnsi="仿宋_GB2312" w:eastAsia="仿宋_GB2312" w:cs="仿宋_GB2312"/>
                <w:color w:val="000000"/>
                <w:sz w:val="24"/>
                <w:lang w:eastAsia="zh-CN"/>
              </w:rPr>
              <w:t>近端工作开展情况，全力配合国家部委合规性审查工作。</w:t>
            </w:r>
            <w:r>
              <w:rPr>
                <w:rFonts w:hint="eastAsia" w:ascii="仿宋_GB2312" w:hAnsi="仿宋_GB2312" w:eastAsia="仿宋_GB2312" w:cs="仿宋_GB2312"/>
                <w:color w:val="000000"/>
                <w:sz w:val="24"/>
                <w:lang w:val="en-US" w:eastAsia="zh-CN"/>
              </w:rPr>
              <w:t>7月向</w:t>
            </w:r>
            <w:r>
              <w:rPr>
                <w:rFonts w:hint="eastAsia" w:ascii="仿宋_GB2312" w:hAnsi="仿宋_GB2312" w:eastAsia="仿宋_GB2312" w:cs="仿宋_GB2312"/>
                <w:color w:val="000000"/>
                <w:sz w:val="24"/>
                <w:lang w:eastAsia="zh-CN"/>
              </w:rPr>
              <w:t>自然资源厅和发改委汇报相关工作，协助我区通过合规性审查。</w:t>
            </w:r>
            <w:r>
              <w:rPr>
                <w:rFonts w:hint="eastAsia" w:ascii="仿宋_GB2312" w:hAnsi="仿宋_GB2312" w:eastAsia="仿宋_GB2312" w:cs="仿宋_GB2312"/>
                <w:color w:val="000000"/>
                <w:sz w:val="24"/>
                <w:lang w:val="en-US" w:eastAsia="zh-CN"/>
              </w:rPr>
              <w:t>8月接待湖南省科技厅朱皖副厅长并汇报国家高新区进展情况。</w:t>
            </w:r>
            <w:r>
              <w:rPr>
                <w:rFonts w:hint="eastAsia" w:ascii="仿宋_GB2312" w:hAnsi="仿宋_GB2312" w:eastAsia="仿宋_GB2312" w:cs="仿宋_GB2312"/>
                <w:color w:val="000000"/>
                <w:sz w:val="24"/>
              </w:rPr>
              <w:t>目前科技部已行文至国务院，正在走批复审批程序。</w:t>
            </w:r>
          </w:p>
          <w:p>
            <w:pPr>
              <w:autoSpaceDN w:val="0"/>
              <w:spacing w:line="320" w:lineRule="exact"/>
              <w:ind w:firstLine="480" w:firstLineChars="200"/>
              <w:jc w:val="left"/>
              <w:textAlignment w:val="center"/>
              <w:rPr>
                <w:rFonts w:hint="eastAsia" w:ascii="黑体" w:hAnsi="黑体" w:eastAsia="黑体" w:cs="黑体"/>
                <w:b w:val="0"/>
                <w:bCs w:val="0"/>
                <w:color w:val="000000"/>
                <w:sz w:val="24"/>
                <w:lang w:val="en-US" w:eastAsia="zh-CN"/>
              </w:rPr>
            </w:pPr>
            <w:r>
              <w:rPr>
                <w:rFonts w:hint="eastAsia" w:ascii="黑体" w:hAnsi="黑体" w:eastAsia="黑体" w:cs="黑体"/>
                <w:b w:val="0"/>
                <w:bCs w:val="0"/>
                <w:color w:val="000000"/>
                <w:sz w:val="24"/>
                <w:lang w:eastAsia="zh-CN"/>
              </w:rPr>
              <w:t>（</w:t>
            </w:r>
            <w:r>
              <w:rPr>
                <w:rFonts w:hint="eastAsia" w:ascii="黑体" w:hAnsi="黑体" w:eastAsia="黑体" w:cs="黑体"/>
                <w:b w:val="0"/>
                <w:bCs w:val="0"/>
                <w:color w:val="000000"/>
                <w:sz w:val="24"/>
                <w:lang w:val="en-US" w:eastAsia="zh-CN"/>
              </w:rPr>
              <w:t>二</w:t>
            </w:r>
            <w:r>
              <w:rPr>
                <w:rFonts w:hint="eastAsia" w:ascii="黑体" w:hAnsi="黑体" w:eastAsia="黑体" w:cs="黑体"/>
                <w:b w:val="0"/>
                <w:bCs w:val="0"/>
                <w:color w:val="000000"/>
                <w:sz w:val="24"/>
                <w:lang w:eastAsia="zh-CN"/>
              </w:rPr>
              <w:t>）落实“三高四新”，奋力建设新港区</w:t>
            </w:r>
          </w:p>
          <w:p>
            <w:pPr>
              <w:autoSpaceDN w:val="0"/>
              <w:spacing w:line="320" w:lineRule="exact"/>
              <w:ind w:firstLine="482" w:firstLineChars="200"/>
              <w:jc w:val="left"/>
              <w:textAlignment w:val="center"/>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000000"/>
                <w:sz w:val="24"/>
                <w:lang w:val="en-US" w:eastAsia="zh-CN"/>
              </w:rPr>
              <w:t>一是提前调研，意向收集</w:t>
            </w:r>
            <w:r>
              <w:rPr>
                <w:rFonts w:hint="eastAsia" w:ascii="仿宋_GB2312" w:hAnsi="仿宋_GB2312" w:eastAsia="仿宋_GB2312" w:cs="仿宋_GB2312"/>
                <w:color w:val="000000"/>
                <w:sz w:val="24"/>
                <w:lang w:val="en-US" w:eastAsia="zh-CN"/>
              </w:rPr>
              <w:t>。组织区内企业完成2020年度岳阳市重大科技项目入库需求征集，11家企业21个科技项目纳入储备库；征集区内企业科创板上市意向，建立后备企业库；</w:t>
            </w:r>
            <w:r>
              <w:rPr>
                <w:rFonts w:hint="eastAsia" w:ascii="楷体_GB2312" w:hAnsi="楷体_GB2312" w:eastAsia="楷体_GB2312" w:cs="楷体_GB2312"/>
                <w:b/>
                <w:bCs/>
                <w:color w:val="000000"/>
                <w:sz w:val="24"/>
                <w:lang w:val="en-US" w:eastAsia="zh-CN"/>
              </w:rPr>
              <w:t>二是积极引导，数据急增</w:t>
            </w:r>
            <w:r>
              <w:rPr>
                <w:rFonts w:hint="eastAsia" w:ascii="仿宋_GB2312" w:hAnsi="仿宋_GB2312" w:eastAsia="仿宋_GB2312" w:cs="仿宋_GB2312"/>
                <w:color w:val="000000"/>
                <w:sz w:val="24"/>
                <w:lang w:val="en-US" w:eastAsia="zh-CN"/>
              </w:rPr>
              <w:t>。对区内企业摸底和开展培训会等多种形式，组织20余家企业申报高新技术企业，新认定14家，数量增幅达56%；开展科技统计指标及统计方法小班制培训，分6次，共计50余人，研发投入数据同比增速达到400%。</w:t>
            </w:r>
            <w:r>
              <w:rPr>
                <w:rFonts w:hint="eastAsia" w:ascii="楷体_GB2312" w:hAnsi="楷体_GB2312" w:eastAsia="楷体_GB2312" w:cs="楷体_GB2312"/>
                <w:b/>
                <w:bCs/>
                <w:color w:val="000000"/>
                <w:sz w:val="24"/>
                <w:lang w:val="en-US" w:eastAsia="zh-CN"/>
              </w:rPr>
              <w:t>三是积极组织，普惠园区</w:t>
            </w:r>
            <w:r>
              <w:rPr>
                <w:rFonts w:hint="eastAsia" w:ascii="仿宋_GB2312" w:hAnsi="仿宋_GB2312" w:eastAsia="仿宋_GB2312" w:cs="仿宋_GB2312"/>
                <w:color w:val="000000"/>
                <w:sz w:val="24"/>
                <w:lang w:val="en-US" w:eastAsia="zh-CN"/>
              </w:rPr>
              <w:t>。全年共组织园区申报科技资金项目10个，共有42家企业76个专项申报；申报人才团队项目4个，16家企业踊跃参与，其中3家企业9名专家进入岳阳市科技咨询</w:t>
            </w:r>
            <w:r>
              <w:rPr>
                <w:rFonts w:hint="default" w:ascii="仿宋_GB2312" w:hAnsi="仿宋_GB2312" w:eastAsia="仿宋_GB2312" w:cs="仿宋_GB2312"/>
                <w:color w:val="000000"/>
                <w:sz w:val="24"/>
                <w:lang w:val="en-US" w:eastAsia="zh-CN"/>
              </w:rPr>
              <w:t>评审专家</w:t>
            </w:r>
            <w:r>
              <w:rPr>
                <w:rFonts w:hint="eastAsia" w:ascii="仿宋_GB2312" w:hAnsi="仿宋_GB2312" w:eastAsia="仿宋_GB2312" w:cs="仿宋_GB2312"/>
                <w:color w:val="000000"/>
                <w:sz w:val="24"/>
                <w:lang w:val="en-US" w:eastAsia="zh-CN"/>
              </w:rPr>
              <w:t>库；组织了中创空天、哈工创智等11家优质企业参与第九届中国创新创业大赛，其中5家企业进入决赛，获得1等奖一个、三等奖2个、优秀奖4个，我中心获最佳组织奖；组织4家企业1个团队参加中国创翼大赛。</w:t>
            </w:r>
            <w:r>
              <w:rPr>
                <w:rFonts w:hint="eastAsia" w:ascii="楷体_GB2312" w:hAnsi="楷体_GB2312" w:eastAsia="楷体_GB2312" w:cs="楷体_GB2312"/>
                <w:b/>
                <w:bCs/>
                <w:color w:val="000000"/>
                <w:sz w:val="24"/>
                <w:lang w:eastAsia="zh-CN"/>
              </w:rPr>
              <w:t>四是军民融合稳中求进</w:t>
            </w:r>
            <w:r>
              <w:rPr>
                <w:rFonts w:hint="eastAsia" w:ascii="仿宋_GB2312" w:hAnsi="仿宋_GB2312" w:eastAsia="仿宋_GB2312" w:cs="仿宋_GB2312"/>
                <w:color w:val="000000"/>
                <w:sz w:val="24"/>
                <w:lang w:eastAsia="zh-CN"/>
              </w:rPr>
              <w:t>。全年申报资金项目</w:t>
            </w:r>
            <w:r>
              <w:rPr>
                <w:rFonts w:hint="eastAsia" w:ascii="仿宋_GB2312" w:hAnsi="仿宋_GB2312" w:eastAsia="仿宋_GB2312" w:cs="仿宋_GB2312"/>
                <w:color w:val="000000"/>
                <w:sz w:val="24"/>
                <w:lang w:val="en-US" w:eastAsia="zh-CN"/>
              </w:rPr>
              <w:t>3个，涉及4家企业12个子项目申报资金，获得军民融合奖补资金700万元，其中600万元企业补助已拨付；新认定湖南省重点“民参军”企业4个，新增保密资质企业1个；通过积极组织企业参赛，中创空天获湖南省先进技术应用大赛一等奖。</w:t>
            </w:r>
            <w:r>
              <w:rPr>
                <w:rFonts w:hint="eastAsia" w:ascii="楷体_GB2312" w:hAnsi="楷体_GB2312" w:eastAsia="楷体_GB2312" w:cs="楷体_GB2312"/>
                <w:b/>
                <w:bCs/>
                <w:color w:val="000000"/>
                <w:sz w:val="24"/>
                <w:lang w:eastAsia="zh-CN"/>
              </w:rPr>
              <w:t>五是</w:t>
            </w:r>
            <w:r>
              <w:rPr>
                <w:rFonts w:hint="eastAsia" w:ascii="楷体_GB2312" w:hAnsi="楷体_GB2312" w:eastAsia="楷体_GB2312" w:cs="楷体_GB2312"/>
                <w:b/>
                <w:bCs/>
                <w:color w:val="000000"/>
                <w:sz w:val="24"/>
                <w:lang w:val="en-US" w:eastAsia="zh-CN"/>
              </w:rPr>
              <w:t>企业科协助力创新</w:t>
            </w:r>
            <w:r>
              <w:rPr>
                <w:rFonts w:hint="eastAsia" w:ascii="仿宋_GB2312" w:hAnsi="仿宋_GB2312" w:eastAsia="仿宋_GB2312" w:cs="仿宋_GB2312"/>
                <w:color w:val="000000"/>
                <w:sz w:val="24"/>
                <w:lang w:val="en-US" w:eastAsia="zh-CN"/>
              </w:rPr>
              <w:t>。湖南城陵矶新港区科学技术协会于2019年12月正式成立，现</w:t>
            </w:r>
            <w:r>
              <w:rPr>
                <w:rFonts w:hint="eastAsia" w:ascii="仿宋_GB2312" w:hAnsi="仿宋_GB2312" w:eastAsia="仿宋_GB2312" w:cs="仿宋_GB2312"/>
                <w:color w:val="000000"/>
                <w:sz w:val="24"/>
                <w:lang w:eastAsia="zh-CN"/>
              </w:rPr>
              <w:t>激励38家企业注册科协</w:t>
            </w:r>
            <w:r>
              <w:rPr>
                <w:rFonts w:hint="eastAsia" w:ascii="仿宋_GB2312" w:hAnsi="仿宋_GB2312" w:eastAsia="仿宋_GB2312" w:cs="仿宋_GB2312"/>
                <w:color w:val="000000"/>
                <w:sz w:val="24"/>
                <w:lang w:val="en-US" w:eastAsia="zh-CN"/>
              </w:rPr>
              <w:t>平台账户，成立企业科协18家，其中力推哈工大机器人（岳阳）军民融合研究院申报科协标兵单位，辅助章彬申报科协先进个人。</w:t>
            </w:r>
          </w:p>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8129.77</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8129.77</w:t>
            </w:r>
          </w:p>
        </w:tc>
        <w:tc>
          <w:tcPr>
            <w:tcW w:w="1705"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80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8129.77</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8129.77</w:t>
            </w:r>
          </w:p>
        </w:tc>
        <w:tc>
          <w:tcPr>
            <w:tcW w:w="1705"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80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705"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80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705"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80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576"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444"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5"/>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81" w:type="dxa"/>
            <w:gridSpan w:val="2"/>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819"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981"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19"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4524</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90.77</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81.77</w:t>
            </w:r>
          </w:p>
        </w:tc>
        <w:tc>
          <w:tcPr>
            <w:tcW w:w="216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w:t>
            </w:r>
          </w:p>
        </w:tc>
        <w:tc>
          <w:tcPr>
            <w:tcW w:w="981"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4433.23</w:t>
            </w:r>
          </w:p>
        </w:tc>
        <w:tc>
          <w:tcPr>
            <w:tcW w:w="819"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4524</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90.77</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81.77</w:t>
            </w:r>
          </w:p>
        </w:tc>
        <w:tc>
          <w:tcPr>
            <w:tcW w:w="216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w:t>
            </w:r>
          </w:p>
        </w:tc>
        <w:tc>
          <w:tcPr>
            <w:tcW w:w="981"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4443.23</w:t>
            </w:r>
          </w:p>
        </w:tc>
        <w:tc>
          <w:tcPr>
            <w:tcW w:w="819"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8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819"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8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819"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合计</w:t>
            </w:r>
            <w:r>
              <w:rPr>
                <w:rFonts w:hint="eastAsia" w:ascii="仿宋_GB2312" w:hAnsi="仿宋_GB2312" w:eastAsia="仿宋_GB2312" w:cs="仿宋_GB2312"/>
                <w:color w:val="000000"/>
                <w:sz w:val="24"/>
                <w:lang w:eastAsia="zh-CN"/>
              </w:rPr>
              <w:t>（元）</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49875</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49875</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49875</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49875</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合计</w:t>
            </w:r>
            <w:r>
              <w:rPr>
                <w:rFonts w:hint="eastAsia" w:ascii="仿宋_GB2312" w:hAnsi="仿宋_GB2312" w:eastAsia="仿宋_GB2312" w:cs="仿宋_GB2312"/>
                <w:color w:val="000000"/>
                <w:sz w:val="24"/>
                <w:lang w:eastAsia="zh-CN"/>
              </w:rPr>
              <w:t>（元）</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22193.52</w:t>
            </w: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22193.52</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22193.52</w:t>
            </w: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22193.52</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left"/>
              <w:textAlignment w:val="center"/>
              <w:rPr>
                <w:rFonts w:hint="eastAsia"/>
              </w:rPr>
            </w:pPr>
          </w:p>
          <w:p>
            <w:pPr>
              <w:autoSpaceDN w:val="0"/>
              <w:spacing w:line="320" w:lineRule="exact"/>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目标1：完善国家高新区控规调整</w:t>
            </w:r>
          </w:p>
          <w:p>
            <w:pPr>
              <w:autoSpaceDN w:val="0"/>
              <w:spacing w:line="320" w:lineRule="exact"/>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目标2：申报国家级先进装备制造示范基地</w:t>
            </w:r>
          </w:p>
          <w:p>
            <w:pPr>
              <w:autoSpaceDN w:val="0"/>
              <w:spacing w:line="320" w:lineRule="exact"/>
              <w:jc w:val="both"/>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目标3：新增高新技术企业14家</w:t>
            </w:r>
          </w:p>
          <w:p>
            <w:pPr>
              <w:pStyle w:val="2"/>
              <w:rPr>
                <w:rFonts w:hint="eastAsia" w:ascii="仿宋_GB2312" w:hAnsi="仿宋_GB2312" w:eastAsia="仿宋_GB2312" w:cs="仿宋_GB2312"/>
                <w:color w:val="000000"/>
                <w:sz w:val="24"/>
              </w:rPr>
            </w:pPr>
          </w:p>
          <w:p>
            <w:pPr>
              <w:pStyle w:val="2"/>
              <w:rPr>
                <w:rFonts w:hint="eastAsia" w:ascii="仿宋_GB2312" w:hAnsi="仿宋_GB2312" w:eastAsia="仿宋_GB2312" w:cs="仿宋_GB2312"/>
                <w:color w:val="000000"/>
                <w:sz w:val="24"/>
              </w:rPr>
            </w:pPr>
          </w:p>
        </w:tc>
        <w:tc>
          <w:tcPr>
            <w:tcW w:w="4585" w:type="dxa"/>
            <w:gridSpan w:val="9"/>
            <w:vAlign w:val="center"/>
          </w:tcPr>
          <w:p>
            <w:pPr>
              <w:autoSpaceDN w:val="0"/>
              <w:spacing w:line="320" w:lineRule="exact"/>
              <w:jc w:val="both"/>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对接有关部门完成国家高新区控规调整</w:t>
            </w:r>
            <w:r>
              <w:rPr>
                <w:rFonts w:hint="eastAsia" w:ascii="仿宋_GB2312" w:hAnsi="仿宋_GB2312" w:eastAsia="仿宋_GB2312" w:cs="仿宋_GB2312"/>
                <w:color w:val="000000"/>
                <w:sz w:val="24"/>
              </w:rPr>
              <w:t>；成功获批国家级</w:t>
            </w:r>
            <w:r>
              <w:rPr>
                <w:rFonts w:hint="eastAsia" w:ascii="仿宋_GB2312" w:hAnsi="仿宋_GB2312" w:eastAsia="仿宋_GB2312" w:cs="仿宋_GB2312"/>
                <w:color w:val="000000"/>
                <w:sz w:val="24"/>
                <w:lang w:eastAsia="zh-CN"/>
              </w:rPr>
              <w:t>先进装备制造示范基地</w:t>
            </w:r>
            <w:r>
              <w:rPr>
                <w:rFonts w:hint="eastAsia" w:ascii="仿宋_GB2312" w:hAnsi="仿宋_GB2312" w:eastAsia="仿宋_GB2312" w:cs="仿宋_GB2312"/>
                <w:color w:val="000000"/>
                <w:sz w:val="24"/>
              </w:rPr>
              <w:t>；组织</w:t>
            </w: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0余家企业申报高新技术企业，高新技术企业由</w:t>
            </w:r>
            <w:r>
              <w:rPr>
                <w:rFonts w:hint="eastAsia" w:ascii="仿宋_GB2312" w:hAnsi="仿宋_GB2312" w:eastAsia="仿宋_GB2312" w:cs="仿宋_GB2312"/>
                <w:color w:val="000000"/>
                <w:sz w:val="24"/>
                <w:lang w:val="en-US" w:eastAsia="zh-CN"/>
              </w:rPr>
              <w:t>25</w:t>
            </w:r>
            <w:r>
              <w:rPr>
                <w:rFonts w:hint="eastAsia" w:ascii="仿宋_GB2312" w:hAnsi="仿宋_GB2312" w:eastAsia="仿宋_GB2312" w:cs="仿宋_GB2312"/>
                <w:color w:val="000000"/>
                <w:sz w:val="24"/>
              </w:rPr>
              <w:t>家上升至</w:t>
            </w:r>
            <w:r>
              <w:rPr>
                <w:rFonts w:hint="eastAsia" w:ascii="仿宋_GB2312" w:hAnsi="仿宋_GB2312" w:eastAsia="仿宋_GB2312" w:cs="仿宋_GB2312"/>
                <w:color w:val="000000"/>
                <w:sz w:val="24"/>
                <w:lang w:val="en-US" w:eastAsia="zh-CN"/>
              </w:rPr>
              <w:t>39</w:t>
            </w:r>
            <w:r>
              <w:rPr>
                <w:rFonts w:hint="eastAsia" w:ascii="仿宋_GB2312" w:hAnsi="仿宋_GB2312" w:eastAsia="仿宋_GB2312" w:cs="仿宋_GB2312"/>
                <w:color w:val="000000"/>
                <w:sz w:val="24"/>
              </w:rPr>
              <w:t>家</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全年共组织园区申报科技资金项目10个，共有42家企业76个专项申报；申报人才团队项目4个</w:t>
            </w:r>
            <w:r>
              <w:rPr>
                <w:rFonts w:hint="eastAsia" w:ascii="仿宋_GB2312" w:hAnsi="仿宋_GB2312" w:eastAsia="仿宋_GB2312" w:cs="仿宋_GB2312"/>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901" w:hRule="atLeast"/>
          <w:jc w:val="center"/>
        </w:trPr>
        <w:tc>
          <w:tcPr>
            <w:tcW w:w="1700" w:type="dxa"/>
            <w:gridSpan w:val="3"/>
            <w:vMerge w:val="restart"/>
            <w:vAlign w:val="center"/>
          </w:tcPr>
          <w:p>
            <w:pPr>
              <w:spacing w:line="320" w:lineRule="exact"/>
              <w:rPr>
                <w:rFonts w:ascii="仿宋_GB2312" w:hAnsi="仿宋_GB2312" w:eastAsia="仿宋_GB2312" w:cs="仿宋_GB2312"/>
                <w:sz w:val="24"/>
              </w:rPr>
            </w:pPr>
          </w:p>
        </w:tc>
        <w:tc>
          <w:tcPr>
            <w:tcW w:w="1290"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大力实施“创新引领、开放崛起”战略，以申报国家高新区为契机，搭建科技创新平台，培育科技企业，提升自主创新能力</w:t>
            </w:r>
          </w:p>
        </w:tc>
        <w:tc>
          <w:tcPr>
            <w:tcW w:w="2684" w:type="dxa"/>
            <w:gridSpan w:val="7"/>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科技经济数据保持两位数增长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1" w:hRule="atLeast"/>
          <w:jc w:val="center"/>
        </w:trPr>
        <w:tc>
          <w:tcPr>
            <w:tcW w:w="1700" w:type="dxa"/>
            <w:gridSpan w:val="3"/>
            <w:vMerge w:val="continue"/>
            <w:vAlign w:val="center"/>
          </w:tcPr>
          <w:p>
            <w:pPr>
              <w:spacing w:line="320" w:lineRule="exact"/>
              <w:rPr>
                <w:rFonts w:ascii="仿宋_GB2312" w:hAnsi="仿宋_GB2312" w:eastAsia="仿宋_GB2312" w:cs="仿宋_GB2312"/>
                <w:sz w:val="24"/>
              </w:rPr>
            </w:pPr>
          </w:p>
        </w:tc>
        <w:tc>
          <w:tcPr>
            <w:tcW w:w="1290" w:type="dxa"/>
            <w:gridSpan w:val="2"/>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指标1：协助</w:t>
            </w:r>
            <w:r>
              <w:rPr>
                <w:rFonts w:hint="eastAsia" w:ascii="仿宋_GB2312" w:hAnsi="仿宋_GB2312" w:eastAsia="仿宋_GB2312" w:cs="仿宋_GB2312"/>
                <w:color w:val="000000"/>
                <w:sz w:val="24"/>
                <w:lang w:val="en-US" w:eastAsia="zh-CN"/>
              </w:rPr>
              <w:t>30</w:t>
            </w:r>
            <w:r>
              <w:rPr>
                <w:rFonts w:hint="eastAsia" w:ascii="仿宋_GB2312" w:hAnsi="仿宋_GB2312" w:eastAsia="仿宋_GB2312" w:cs="仿宋_GB2312"/>
                <w:color w:val="000000"/>
                <w:sz w:val="24"/>
              </w:rPr>
              <w:t>家区内企业完成科技资金项目申报；协助</w:t>
            </w:r>
            <w:r>
              <w:rPr>
                <w:rFonts w:hint="eastAsia" w:ascii="仿宋_GB2312" w:hAnsi="仿宋_GB2312" w:eastAsia="仿宋_GB2312" w:cs="仿宋_GB2312"/>
                <w:color w:val="000000"/>
                <w:sz w:val="24"/>
                <w:lang w:val="en-US" w:eastAsia="zh-CN"/>
              </w:rPr>
              <w:t>10</w:t>
            </w:r>
            <w:r>
              <w:rPr>
                <w:rFonts w:hint="eastAsia" w:ascii="仿宋_GB2312" w:hAnsi="仿宋_GB2312" w:eastAsia="仿宋_GB2312" w:cs="仿宋_GB2312"/>
                <w:color w:val="000000"/>
                <w:sz w:val="24"/>
              </w:rPr>
              <w:t>家区内企业积极申报人才项目；组织</w:t>
            </w:r>
            <w:r>
              <w:rPr>
                <w:rFonts w:hint="eastAsia" w:ascii="仿宋_GB2312" w:hAnsi="仿宋_GB2312" w:eastAsia="仿宋_GB2312" w:cs="仿宋_GB2312"/>
                <w:color w:val="000000"/>
                <w:sz w:val="24"/>
                <w:lang w:val="en-US" w:eastAsia="zh-CN"/>
              </w:rPr>
              <w:t>10</w:t>
            </w:r>
            <w:r>
              <w:rPr>
                <w:rFonts w:hint="eastAsia" w:ascii="仿宋_GB2312" w:hAnsi="仿宋_GB2312" w:eastAsia="仿宋_GB2312" w:cs="仿宋_GB2312"/>
                <w:color w:val="000000"/>
                <w:sz w:val="24"/>
              </w:rPr>
              <w:t>家新港区企业、团队参加科技、军民融合创新应用等竞赛或路演。</w:t>
            </w:r>
          </w:p>
        </w:tc>
        <w:tc>
          <w:tcPr>
            <w:tcW w:w="2684" w:type="dxa"/>
            <w:gridSpan w:val="7"/>
            <w:vAlign w:val="center"/>
          </w:tcPr>
          <w:p>
            <w:pPr>
              <w:autoSpaceDN w:val="0"/>
              <w:spacing w:line="320" w:lineRule="exact"/>
              <w:jc w:val="both"/>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推荐</w:t>
            </w:r>
            <w:r>
              <w:rPr>
                <w:rFonts w:hint="eastAsia" w:ascii="仿宋_GB2312" w:hAnsi="仿宋_GB2312" w:eastAsia="仿宋_GB2312" w:cs="仿宋_GB2312"/>
                <w:color w:val="000000"/>
                <w:sz w:val="24"/>
                <w:lang w:val="en-US" w:eastAsia="zh-CN"/>
              </w:rPr>
              <w:t>46</w:t>
            </w:r>
            <w:r>
              <w:rPr>
                <w:rFonts w:hint="eastAsia" w:ascii="仿宋_GB2312" w:hAnsi="仿宋_GB2312" w:eastAsia="仿宋_GB2312" w:cs="仿宋_GB2312"/>
                <w:color w:val="000000"/>
                <w:sz w:val="24"/>
              </w:rPr>
              <w:t>个企业完成科技资金项目申报；</w:t>
            </w:r>
            <w:r>
              <w:rPr>
                <w:rFonts w:hint="eastAsia" w:ascii="仿宋_GB2312" w:hAnsi="仿宋_GB2312" w:eastAsia="仿宋_GB2312" w:cs="仿宋_GB2312"/>
                <w:color w:val="000000"/>
                <w:sz w:val="24"/>
                <w:lang w:val="en-US" w:eastAsia="zh-CN"/>
              </w:rPr>
              <w:t>16</w:t>
            </w:r>
            <w:r>
              <w:rPr>
                <w:rFonts w:hint="eastAsia" w:ascii="仿宋_GB2312" w:hAnsi="仿宋_GB2312" w:eastAsia="仿宋_GB2312" w:cs="仿宋_GB2312"/>
                <w:color w:val="000000"/>
                <w:sz w:val="24"/>
              </w:rPr>
              <w:t>个企业申报人才项目；推荐</w:t>
            </w:r>
            <w:r>
              <w:rPr>
                <w:rFonts w:hint="eastAsia" w:ascii="仿宋_GB2312" w:hAnsi="仿宋_GB2312" w:eastAsia="仿宋_GB2312" w:cs="仿宋_GB2312"/>
                <w:color w:val="000000"/>
                <w:sz w:val="24"/>
                <w:lang w:val="en-US" w:eastAsia="zh-CN"/>
              </w:rPr>
              <w:t>11</w:t>
            </w:r>
            <w:r>
              <w:rPr>
                <w:rFonts w:hint="eastAsia" w:ascii="仿宋_GB2312" w:hAnsi="仿宋_GB2312" w:eastAsia="仿宋_GB2312" w:cs="仿宋_GB2312"/>
                <w:color w:val="000000"/>
                <w:sz w:val="24"/>
              </w:rPr>
              <w:t>家企业、团队参赛，</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家企业、</w:t>
            </w: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个团队获奖。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34" w:hRule="atLeast"/>
          <w:jc w:val="center"/>
        </w:trPr>
        <w:tc>
          <w:tcPr>
            <w:tcW w:w="1700" w:type="dxa"/>
            <w:gridSpan w:val="3"/>
            <w:vMerge w:val="continue"/>
            <w:vAlign w:val="center"/>
          </w:tcPr>
          <w:p>
            <w:pPr>
              <w:spacing w:line="320" w:lineRule="exact"/>
              <w:rPr>
                <w:rFonts w:ascii="仿宋_GB2312" w:hAnsi="仿宋_GB2312" w:eastAsia="仿宋_GB2312" w:cs="仿宋_GB2312"/>
                <w:sz w:val="24"/>
              </w:rPr>
            </w:pPr>
          </w:p>
        </w:tc>
        <w:tc>
          <w:tcPr>
            <w:tcW w:w="1290" w:type="dxa"/>
            <w:gridSpan w:val="2"/>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3"/>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指标2：申报国家</w:t>
            </w:r>
            <w:r>
              <w:rPr>
                <w:rFonts w:hint="eastAsia" w:ascii="仿宋_GB2312" w:hAnsi="仿宋_GB2312" w:eastAsia="仿宋_GB2312" w:cs="仿宋_GB2312"/>
                <w:color w:val="000000"/>
                <w:sz w:val="24"/>
                <w:lang w:eastAsia="zh-CN"/>
              </w:rPr>
              <w:t>级科技平台一个</w:t>
            </w:r>
          </w:p>
        </w:tc>
        <w:tc>
          <w:tcPr>
            <w:tcW w:w="2684" w:type="dxa"/>
            <w:gridSpan w:val="7"/>
            <w:vAlign w:val="center"/>
          </w:tcPr>
          <w:p>
            <w:pPr>
              <w:autoSpaceDN w:val="0"/>
              <w:spacing w:line="320" w:lineRule="exact"/>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color w:val="000000"/>
                <w:sz w:val="24"/>
              </w:rPr>
              <w:t>成功获批国家级</w:t>
            </w:r>
            <w:r>
              <w:rPr>
                <w:rFonts w:hint="eastAsia" w:ascii="仿宋_GB2312" w:hAnsi="仿宋_GB2312" w:eastAsia="仿宋_GB2312" w:cs="仿宋_GB2312"/>
                <w:color w:val="000000"/>
                <w:sz w:val="24"/>
                <w:lang w:eastAsia="zh-CN"/>
              </w:rPr>
              <w:t>先进装备制造示范基地；成功获批国家级</w:t>
            </w:r>
            <w:r>
              <w:rPr>
                <w:rFonts w:hint="default" w:ascii="仿宋_GB2312" w:hAnsi="仿宋_GB2312" w:eastAsia="仿宋_GB2312" w:cs="仿宋_GB2312"/>
                <w:color w:val="000000"/>
                <w:sz w:val="24"/>
                <w:lang w:val="en-US" w:eastAsia="zh-CN"/>
              </w:rPr>
              <w:t>大众创业万众创新示范基地</w:t>
            </w:r>
            <w:r>
              <w:rPr>
                <w:rFonts w:hint="eastAsia" w:ascii="仿宋_GB2312" w:hAnsi="仿宋_GB2312" w:eastAsia="仿宋_GB2312" w:cs="仿宋_GB2312"/>
                <w:color w:val="000000"/>
                <w:sz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34" w:hRule="atLeast"/>
          <w:jc w:val="center"/>
        </w:trPr>
        <w:tc>
          <w:tcPr>
            <w:tcW w:w="1700" w:type="dxa"/>
            <w:gridSpan w:val="3"/>
            <w:vMerge w:val="continue"/>
            <w:vAlign w:val="center"/>
          </w:tcPr>
          <w:p>
            <w:pPr>
              <w:spacing w:line="320" w:lineRule="exact"/>
              <w:rPr>
                <w:rFonts w:ascii="仿宋_GB2312" w:hAnsi="仿宋_GB2312" w:eastAsia="仿宋_GB2312" w:cs="仿宋_GB2312"/>
                <w:sz w:val="24"/>
              </w:rPr>
            </w:pPr>
          </w:p>
        </w:tc>
        <w:tc>
          <w:tcPr>
            <w:tcW w:w="1290" w:type="dxa"/>
            <w:gridSpan w:val="2"/>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指标3：新增高新技术企业10家</w:t>
            </w:r>
          </w:p>
        </w:tc>
        <w:tc>
          <w:tcPr>
            <w:tcW w:w="2684" w:type="dxa"/>
            <w:gridSpan w:val="7"/>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新增首次认定高新技术企业1</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家，总数达到</w:t>
            </w:r>
            <w:r>
              <w:rPr>
                <w:rFonts w:hint="eastAsia" w:ascii="仿宋_GB2312" w:hAnsi="仿宋_GB2312" w:eastAsia="仿宋_GB2312" w:cs="仿宋_GB2312"/>
                <w:color w:val="000000"/>
                <w:sz w:val="24"/>
                <w:lang w:val="en-US" w:eastAsia="zh-CN"/>
              </w:rPr>
              <w:t>39</w:t>
            </w:r>
            <w:r>
              <w:rPr>
                <w:rFonts w:hint="eastAsia" w:ascii="仿宋_GB2312" w:hAnsi="仿宋_GB2312" w:eastAsia="仿宋_GB2312" w:cs="仿宋_GB2312"/>
                <w:color w:val="000000"/>
                <w:sz w:val="24"/>
              </w:rPr>
              <w:t>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76" w:hRule="atLeast"/>
          <w:jc w:val="center"/>
        </w:trPr>
        <w:tc>
          <w:tcPr>
            <w:tcW w:w="1700" w:type="dxa"/>
            <w:gridSpan w:val="3"/>
            <w:vMerge w:val="continue"/>
            <w:vAlign w:val="center"/>
          </w:tcPr>
          <w:p>
            <w:pPr>
              <w:spacing w:line="320" w:lineRule="exact"/>
              <w:rPr>
                <w:rFonts w:ascii="仿宋_GB2312" w:hAnsi="仿宋_GB2312" w:eastAsia="仿宋_GB2312" w:cs="仿宋_GB2312"/>
                <w:sz w:val="24"/>
              </w:rPr>
            </w:pPr>
          </w:p>
        </w:tc>
        <w:tc>
          <w:tcPr>
            <w:tcW w:w="1290" w:type="dxa"/>
            <w:gridSpan w:val="2"/>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根据政府及市科技局绩效考核文件及时完成目标</w:t>
            </w:r>
          </w:p>
        </w:tc>
        <w:tc>
          <w:tcPr>
            <w:tcW w:w="2684" w:type="dxa"/>
            <w:gridSpan w:val="7"/>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及时完成目标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8" w:hRule="atLeast"/>
          <w:jc w:val="center"/>
        </w:trPr>
        <w:tc>
          <w:tcPr>
            <w:tcW w:w="1700" w:type="dxa"/>
            <w:gridSpan w:val="3"/>
            <w:vMerge w:val="continue"/>
            <w:vAlign w:val="center"/>
          </w:tcPr>
          <w:p>
            <w:pPr>
              <w:spacing w:line="320" w:lineRule="exact"/>
              <w:rPr>
                <w:rFonts w:ascii="仿宋_GB2312" w:hAnsi="仿宋_GB2312" w:eastAsia="仿宋_GB2312" w:cs="仿宋_GB2312"/>
                <w:sz w:val="24"/>
              </w:rPr>
            </w:pPr>
          </w:p>
        </w:tc>
        <w:tc>
          <w:tcPr>
            <w:tcW w:w="1290" w:type="dxa"/>
            <w:gridSpan w:val="2"/>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控制在预算内</w:t>
            </w:r>
          </w:p>
        </w:tc>
        <w:tc>
          <w:tcPr>
            <w:tcW w:w="2684" w:type="dxa"/>
            <w:gridSpan w:val="7"/>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控制在预算内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9" w:hRule="atLeast"/>
          <w:jc w:val="center"/>
        </w:trPr>
        <w:tc>
          <w:tcPr>
            <w:tcW w:w="1700" w:type="dxa"/>
            <w:gridSpan w:val="3"/>
            <w:vMerge w:val="continue"/>
            <w:vAlign w:val="center"/>
          </w:tcPr>
          <w:p>
            <w:pPr>
              <w:spacing w:line="320" w:lineRule="exact"/>
              <w:rPr>
                <w:rFonts w:ascii="仿宋_GB2312" w:hAnsi="仿宋_GB2312" w:eastAsia="仿宋_GB2312" w:cs="仿宋_GB2312"/>
                <w:sz w:val="24"/>
              </w:rPr>
            </w:pPr>
          </w:p>
        </w:tc>
        <w:tc>
          <w:tcPr>
            <w:tcW w:w="1290"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无</w:t>
            </w:r>
          </w:p>
        </w:tc>
        <w:tc>
          <w:tcPr>
            <w:tcW w:w="2684" w:type="dxa"/>
            <w:gridSpan w:val="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509" w:hRule="atLeast"/>
          <w:jc w:val="center"/>
        </w:trPr>
        <w:tc>
          <w:tcPr>
            <w:tcW w:w="1700" w:type="dxa"/>
            <w:gridSpan w:val="3"/>
            <w:vMerge w:val="continue"/>
            <w:vAlign w:val="center"/>
          </w:tcPr>
          <w:p>
            <w:pPr>
              <w:spacing w:line="320" w:lineRule="exact"/>
              <w:rPr>
                <w:rFonts w:ascii="仿宋_GB2312" w:hAnsi="仿宋_GB2312" w:eastAsia="仿宋_GB2312" w:cs="仿宋_GB2312"/>
                <w:sz w:val="24"/>
              </w:rPr>
            </w:pPr>
          </w:p>
        </w:tc>
        <w:tc>
          <w:tcPr>
            <w:tcW w:w="1290" w:type="dxa"/>
            <w:gridSpan w:val="2"/>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3"/>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科技立项争资达到</w:t>
            </w:r>
            <w:r>
              <w:rPr>
                <w:rFonts w:hint="eastAsia" w:ascii="仿宋_GB2312" w:hAnsi="仿宋_GB2312" w:eastAsia="仿宋_GB2312" w:cs="仿宋_GB2312"/>
                <w:color w:val="000000"/>
                <w:sz w:val="24"/>
                <w:lang w:val="en-US" w:eastAsia="zh-CN"/>
              </w:rPr>
              <w:t>3000</w:t>
            </w:r>
            <w:r>
              <w:rPr>
                <w:rFonts w:hint="eastAsia" w:ascii="仿宋_GB2312" w:hAnsi="仿宋_GB2312" w:eastAsia="仿宋_GB2312" w:cs="仿宋_GB2312"/>
                <w:color w:val="000000"/>
                <w:sz w:val="24"/>
              </w:rPr>
              <w:t>万，全社会研发经费投入达到</w:t>
            </w:r>
            <w:r>
              <w:rPr>
                <w:rFonts w:hint="eastAsia" w:ascii="仿宋_GB2312" w:hAnsi="仿宋_GB2312" w:eastAsia="仿宋_GB2312" w:cs="仿宋_GB2312"/>
                <w:color w:val="000000"/>
                <w:sz w:val="24"/>
                <w:lang w:val="en-US" w:eastAsia="zh-CN"/>
              </w:rPr>
              <w:t>2.1</w:t>
            </w:r>
            <w:r>
              <w:rPr>
                <w:rFonts w:hint="eastAsia" w:ascii="仿宋_GB2312" w:hAnsi="仿宋_GB2312" w:eastAsia="仿宋_GB2312" w:cs="仿宋_GB2312"/>
                <w:color w:val="000000"/>
                <w:sz w:val="24"/>
              </w:rPr>
              <w:t>亿</w:t>
            </w:r>
            <w:r>
              <w:rPr>
                <w:rFonts w:hint="eastAsia" w:ascii="仿宋_GB2312" w:hAnsi="仿宋_GB2312" w:eastAsia="仿宋_GB2312" w:cs="仿宋_GB2312"/>
                <w:color w:val="000000"/>
                <w:sz w:val="24"/>
                <w:lang w:eastAsia="zh-CN"/>
              </w:rPr>
              <w:t>，实现科技财政支出</w:t>
            </w:r>
            <w:r>
              <w:rPr>
                <w:rFonts w:hint="eastAsia" w:ascii="仿宋_GB2312" w:hAnsi="仿宋_GB2312" w:eastAsia="仿宋_GB2312" w:cs="仿宋_GB2312"/>
                <w:color w:val="000000"/>
                <w:sz w:val="24"/>
                <w:lang w:val="en-US" w:eastAsia="zh-CN"/>
              </w:rPr>
              <w:t>5亿元，实现高新技术产业增加值18亿元，实现技术交易合同额4000万元。</w:t>
            </w:r>
          </w:p>
        </w:tc>
        <w:tc>
          <w:tcPr>
            <w:tcW w:w="2684" w:type="dxa"/>
            <w:gridSpan w:val="7"/>
            <w:vAlign w:val="center"/>
          </w:tcPr>
          <w:p>
            <w:pPr>
              <w:jc w:val="both"/>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已完成科技立项争资</w:t>
            </w:r>
            <w:r>
              <w:rPr>
                <w:rFonts w:hint="eastAsia" w:ascii="仿宋_GB2312" w:hAnsi="仿宋_GB2312" w:eastAsia="仿宋_GB2312" w:cs="仿宋_GB2312"/>
                <w:color w:val="000000"/>
                <w:sz w:val="24"/>
                <w:lang w:val="en-US" w:eastAsia="zh-CN"/>
              </w:rPr>
              <w:t>4764.36</w:t>
            </w:r>
            <w:r>
              <w:rPr>
                <w:rFonts w:hint="eastAsia" w:ascii="仿宋_GB2312" w:hAnsi="仿宋_GB2312" w:eastAsia="仿宋_GB2312" w:cs="仿宋_GB2312"/>
                <w:color w:val="000000"/>
                <w:sz w:val="24"/>
              </w:rPr>
              <w:t>万</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全社会研发经费投入达到2.</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亿</w:t>
            </w:r>
            <w:r>
              <w:rPr>
                <w:rFonts w:hint="eastAsia" w:ascii="仿宋_GB2312" w:hAnsi="仿宋_GB2312" w:eastAsia="仿宋_GB2312" w:cs="仿宋_GB2312"/>
                <w:color w:val="000000"/>
                <w:sz w:val="24"/>
                <w:lang w:eastAsia="zh-CN"/>
              </w:rPr>
              <w:t>；全区共完成财政科技支出</w:t>
            </w:r>
            <w:r>
              <w:rPr>
                <w:rFonts w:hint="eastAsia" w:ascii="仿宋_GB2312" w:hAnsi="仿宋_GB2312" w:eastAsia="仿宋_GB2312" w:cs="仿宋_GB2312"/>
                <w:color w:val="000000"/>
                <w:sz w:val="24"/>
                <w:lang w:val="en-US" w:eastAsia="zh-CN"/>
              </w:rPr>
              <w:t>5.54亿元，增速为20.7%；全年高新技术产业增加值为21.8亿元，高新技术产业增加值GDP占比为24.8%；协助企业登记技术交易合同额共4646.41万元。</w:t>
            </w:r>
          </w:p>
          <w:p>
            <w:pPr>
              <w:autoSpaceDN w:val="0"/>
              <w:spacing w:line="320" w:lineRule="exact"/>
              <w:jc w:val="left"/>
              <w:textAlignment w:val="center"/>
              <w:rPr>
                <w:rFonts w:hint="eastAsia" w:ascii="仿宋_GB2312" w:hAnsi="仿宋_GB2312" w:eastAsia="仿宋_GB2312" w:cs="仿宋_GB2312"/>
                <w:color w:val="000000"/>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98" w:hRule="atLeast"/>
          <w:jc w:val="center"/>
        </w:trPr>
        <w:tc>
          <w:tcPr>
            <w:tcW w:w="1700" w:type="dxa"/>
            <w:gridSpan w:val="3"/>
            <w:vMerge w:val="continue"/>
            <w:vAlign w:val="center"/>
          </w:tcPr>
          <w:p>
            <w:pPr>
              <w:spacing w:line="320" w:lineRule="exact"/>
              <w:rPr>
                <w:rFonts w:ascii="仿宋_GB2312" w:hAnsi="仿宋_GB2312" w:eastAsia="仿宋_GB2312" w:cs="仿宋_GB2312"/>
                <w:sz w:val="24"/>
              </w:rPr>
            </w:pPr>
          </w:p>
        </w:tc>
        <w:tc>
          <w:tcPr>
            <w:tcW w:w="1290" w:type="dxa"/>
            <w:gridSpan w:val="2"/>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无</w:t>
            </w:r>
          </w:p>
        </w:tc>
        <w:tc>
          <w:tcPr>
            <w:tcW w:w="2684" w:type="dxa"/>
            <w:gridSpan w:val="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2" w:hRule="atLeast"/>
          <w:jc w:val="center"/>
        </w:trPr>
        <w:tc>
          <w:tcPr>
            <w:tcW w:w="1700" w:type="dxa"/>
            <w:gridSpan w:val="3"/>
            <w:vMerge w:val="continue"/>
            <w:vAlign w:val="center"/>
          </w:tcPr>
          <w:p>
            <w:pPr>
              <w:spacing w:line="320" w:lineRule="exact"/>
              <w:rPr>
                <w:rFonts w:ascii="仿宋_GB2312" w:hAnsi="仿宋_GB2312" w:eastAsia="仿宋_GB2312" w:cs="仿宋_GB2312"/>
                <w:sz w:val="24"/>
              </w:rPr>
            </w:pPr>
          </w:p>
        </w:tc>
        <w:tc>
          <w:tcPr>
            <w:tcW w:w="1290" w:type="dxa"/>
            <w:gridSpan w:val="2"/>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c>
          <w:tcPr>
            <w:tcW w:w="2684" w:type="dxa"/>
            <w:gridSpan w:val="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222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236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jc w:val="center"/>
              <w:rPr>
                <w:rFonts w:eastAsia="仿宋_GB2312"/>
                <w:sz w:val="24"/>
              </w:rPr>
            </w:pPr>
            <w:r>
              <w:rPr>
                <w:rFonts w:hint="eastAsia" w:eastAsia="仿宋_GB2312"/>
                <w:sz w:val="24"/>
              </w:rPr>
              <w:t>张永强</w:t>
            </w:r>
          </w:p>
        </w:tc>
        <w:tc>
          <w:tcPr>
            <w:tcW w:w="3561" w:type="dxa"/>
            <w:gridSpan w:val="6"/>
            <w:vAlign w:val="center"/>
          </w:tcPr>
          <w:p>
            <w:pPr>
              <w:jc w:val="center"/>
              <w:rPr>
                <w:rFonts w:eastAsia="仿宋_GB2312"/>
                <w:sz w:val="24"/>
              </w:rPr>
            </w:pPr>
            <w:r>
              <w:rPr>
                <w:rFonts w:hint="eastAsia" w:eastAsia="仿宋_GB2312"/>
                <w:sz w:val="24"/>
              </w:rPr>
              <w:t>主任</w:t>
            </w:r>
          </w:p>
        </w:tc>
        <w:tc>
          <w:tcPr>
            <w:tcW w:w="2220" w:type="dxa"/>
            <w:gridSpan w:val="4"/>
            <w:vAlign w:val="center"/>
          </w:tcPr>
          <w:p>
            <w:pPr>
              <w:jc w:val="center"/>
              <w:rPr>
                <w:rFonts w:eastAsia="仿宋_GB2312"/>
                <w:sz w:val="24"/>
              </w:rPr>
            </w:pPr>
            <w:r>
              <w:rPr>
                <w:rFonts w:hint="eastAsia" w:eastAsia="仿宋_GB2312"/>
                <w:sz w:val="24"/>
              </w:rPr>
              <w:t xml:space="preserve">湖南城陵矶新港区科技创创业服务中心 </w:t>
            </w:r>
          </w:p>
        </w:tc>
        <w:tc>
          <w:tcPr>
            <w:tcW w:w="236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jc w:val="center"/>
              <w:rPr>
                <w:rFonts w:eastAsia="仿宋_GB2312"/>
                <w:sz w:val="24"/>
              </w:rPr>
            </w:pPr>
            <w:r>
              <w:rPr>
                <w:rFonts w:hint="eastAsia" w:eastAsia="仿宋_GB2312"/>
                <w:sz w:val="24"/>
              </w:rPr>
              <w:t>章彬</w:t>
            </w:r>
          </w:p>
        </w:tc>
        <w:tc>
          <w:tcPr>
            <w:tcW w:w="3561" w:type="dxa"/>
            <w:gridSpan w:val="6"/>
            <w:vAlign w:val="center"/>
          </w:tcPr>
          <w:p>
            <w:pPr>
              <w:jc w:val="center"/>
              <w:rPr>
                <w:rFonts w:eastAsia="仿宋_GB2312"/>
                <w:sz w:val="24"/>
              </w:rPr>
            </w:pPr>
            <w:r>
              <w:rPr>
                <w:rFonts w:hint="eastAsia" w:eastAsia="仿宋_GB2312"/>
                <w:sz w:val="24"/>
              </w:rPr>
              <w:t>副主任</w:t>
            </w:r>
          </w:p>
        </w:tc>
        <w:tc>
          <w:tcPr>
            <w:tcW w:w="2220" w:type="dxa"/>
            <w:gridSpan w:val="4"/>
            <w:vAlign w:val="center"/>
          </w:tcPr>
          <w:p>
            <w:pPr>
              <w:jc w:val="center"/>
              <w:rPr>
                <w:rFonts w:eastAsia="仿宋_GB2312"/>
                <w:sz w:val="24"/>
              </w:rPr>
            </w:pPr>
            <w:r>
              <w:rPr>
                <w:rFonts w:hint="eastAsia" w:eastAsia="仿宋_GB2312"/>
                <w:sz w:val="24"/>
              </w:rPr>
              <w:t xml:space="preserve">湖南城陵矶新港区科技创创业服务中心 </w:t>
            </w:r>
          </w:p>
        </w:tc>
        <w:tc>
          <w:tcPr>
            <w:tcW w:w="236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jc w:val="center"/>
              <w:rPr>
                <w:rFonts w:eastAsia="仿宋_GB2312"/>
                <w:sz w:val="24"/>
              </w:rPr>
            </w:pPr>
            <w:r>
              <w:rPr>
                <w:rFonts w:hint="eastAsia" w:eastAsia="仿宋_GB2312"/>
                <w:sz w:val="24"/>
              </w:rPr>
              <w:t>卢梦尧</w:t>
            </w:r>
          </w:p>
        </w:tc>
        <w:tc>
          <w:tcPr>
            <w:tcW w:w="3561" w:type="dxa"/>
            <w:gridSpan w:val="6"/>
            <w:vAlign w:val="center"/>
          </w:tcPr>
          <w:p>
            <w:pPr>
              <w:jc w:val="center"/>
              <w:rPr>
                <w:rFonts w:eastAsia="仿宋_GB2312"/>
                <w:sz w:val="24"/>
              </w:rPr>
            </w:pPr>
            <w:r>
              <w:rPr>
                <w:rFonts w:hint="eastAsia" w:eastAsia="仿宋_GB2312"/>
                <w:sz w:val="24"/>
              </w:rPr>
              <w:t>办公室主任</w:t>
            </w:r>
          </w:p>
        </w:tc>
        <w:tc>
          <w:tcPr>
            <w:tcW w:w="2220" w:type="dxa"/>
            <w:gridSpan w:val="4"/>
            <w:vAlign w:val="center"/>
          </w:tcPr>
          <w:p>
            <w:pPr>
              <w:jc w:val="center"/>
              <w:rPr>
                <w:rFonts w:eastAsia="仿宋_GB2312"/>
                <w:sz w:val="24"/>
              </w:rPr>
            </w:pPr>
            <w:r>
              <w:rPr>
                <w:rFonts w:hint="eastAsia" w:eastAsia="仿宋_GB2312"/>
                <w:sz w:val="24"/>
              </w:rPr>
              <w:t xml:space="preserve">湖南城陵矶新港区科技创创业服务中心 </w:t>
            </w:r>
          </w:p>
        </w:tc>
        <w:tc>
          <w:tcPr>
            <w:tcW w:w="236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jc w:val="center"/>
              <w:rPr>
                <w:rFonts w:hint="eastAsia" w:eastAsia="仿宋_GB2312"/>
                <w:sz w:val="24"/>
                <w:lang w:eastAsia="zh-CN"/>
              </w:rPr>
            </w:pPr>
            <w:r>
              <w:rPr>
                <w:rFonts w:hint="eastAsia" w:eastAsia="仿宋_GB2312"/>
                <w:sz w:val="24"/>
                <w:lang w:eastAsia="zh-CN"/>
              </w:rPr>
              <w:t>李苏宇</w:t>
            </w:r>
          </w:p>
        </w:tc>
        <w:tc>
          <w:tcPr>
            <w:tcW w:w="3561" w:type="dxa"/>
            <w:gridSpan w:val="6"/>
            <w:vAlign w:val="center"/>
          </w:tcPr>
          <w:p>
            <w:pPr>
              <w:jc w:val="center"/>
              <w:rPr>
                <w:rFonts w:eastAsia="仿宋_GB2312"/>
                <w:sz w:val="24"/>
              </w:rPr>
            </w:pPr>
            <w:r>
              <w:rPr>
                <w:rFonts w:hint="eastAsia" w:eastAsia="仿宋_GB2312"/>
                <w:sz w:val="24"/>
              </w:rPr>
              <w:t>科员</w:t>
            </w:r>
          </w:p>
        </w:tc>
        <w:tc>
          <w:tcPr>
            <w:tcW w:w="2220" w:type="dxa"/>
            <w:gridSpan w:val="4"/>
            <w:vAlign w:val="center"/>
          </w:tcPr>
          <w:p>
            <w:pPr>
              <w:jc w:val="center"/>
              <w:rPr>
                <w:rFonts w:eastAsia="仿宋_GB2312"/>
                <w:sz w:val="24"/>
              </w:rPr>
            </w:pPr>
            <w:r>
              <w:rPr>
                <w:rFonts w:hint="eastAsia" w:eastAsia="仿宋_GB2312"/>
                <w:sz w:val="24"/>
              </w:rPr>
              <w:t xml:space="preserve">湖南城陵矶新港区科技创创业服务中心 </w:t>
            </w:r>
          </w:p>
        </w:tc>
        <w:tc>
          <w:tcPr>
            <w:tcW w:w="236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79"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945"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主要职能。科创中心是湖南城陵矶新港区科技创新创业及军民融合产业发展工作服务部门。主要职能包括科技计划项目审查推荐、孵化器建设及管理、高新技术企业认定推荐、双创平台建设、成果转化等科技职能；军民融合产业规划、政策拟定、项目招商等军民融合工作职能；20</w:t>
            </w:r>
            <w:r>
              <w:rPr>
                <w:rFonts w:hint="eastAsia" w:ascii="仿宋_GB2312" w:hAnsi="仿宋_GB2312" w:eastAsia="仿宋_GB2312" w:cs="仿宋_GB2312"/>
                <w:bCs/>
                <w:sz w:val="28"/>
                <w:szCs w:val="28"/>
                <w:lang w:val="en-US" w:eastAsia="zh-CN"/>
              </w:rPr>
              <w:t>20</w:t>
            </w:r>
            <w:r>
              <w:rPr>
                <w:rFonts w:hint="eastAsia" w:ascii="仿宋_GB2312" w:hAnsi="仿宋_GB2312" w:eastAsia="仿宋_GB2312" w:cs="仿宋_GB2312"/>
                <w:bCs/>
                <w:sz w:val="28"/>
                <w:szCs w:val="28"/>
              </w:rPr>
              <w:t>年以申报国家</w:t>
            </w:r>
            <w:r>
              <w:rPr>
                <w:rFonts w:hint="eastAsia" w:ascii="仿宋_GB2312" w:hAnsi="仿宋_GB2312" w:eastAsia="仿宋_GB2312" w:cs="仿宋_GB2312"/>
                <w:bCs/>
                <w:sz w:val="28"/>
                <w:szCs w:val="28"/>
                <w:lang w:eastAsia="zh-CN"/>
              </w:rPr>
              <w:t>科技平台为核心任务</w:t>
            </w:r>
            <w:r>
              <w:rPr>
                <w:rFonts w:hint="eastAsia" w:ascii="仿宋_GB2312" w:hAnsi="仿宋_GB2312" w:eastAsia="仿宋_GB2312" w:cs="仿宋_GB2312"/>
                <w:bCs/>
                <w:sz w:val="28"/>
                <w:szCs w:val="28"/>
              </w:rPr>
              <w:t>，搭建科技创新平台，培育科技企业，提升自主创新能力。</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2．机构情况。科创中心属城陵矶新港区下属全额拨款事业单位，无二级机构。</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3．人员情况。科创中心现有在编人员2名，在岗人员</w:t>
            </w:r>
            <w:r>
              <w:rPr>
                <w:rFonts w:hint="eastAsia" w:ascii="仿宋_GB2312" w:hAnsi="仿宋_GB2312" w:eastAsia="仿宋_GB2312" w:cs="仿宋_GB2312"/>
                <w:bCs/>
                <w:sz w:val="28"/>
                <w:szCs w:val="28"/>
                <w:lang w:val="en-US" w:eastAsia="zh-CN"/>
              </w:rPr>
              <w:t>6</w:t>
            </w:r>
            <w:r>
              <w:rPr>
                <w:rFonts w:hint="eastAsia" w:ascii="仿宋_GB2312" w:hAnsi="仿宋_GB2312" w:eastAsia="仿宋_GB2312" w:cs="仿宋_GB2312"/>
                <w:bCs/>
                <w:sz w:val="28"/>
                <w:szCs w:val="28"/>
              </w:rPr>
              <w:t>名。</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（二）部门（单位）整体支出规模、使用方向和主要内容、涉及范围</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w:t>
            </w:r>
            <w:r>
              <w:rPr>
                <w:rFonts w:hint="eastAsia" w:ascii="仿宋_GB2312" w:hAnsi="仿宋_GB2312" w:eastAsia="仿宋_GB2312" w:cs="仿宋_GB2312"/>
                <w:bCs/>
                <w:sz w:val="28"/>
                <w:szCs w:val="28"/>
                <w:lang w:val="en-US" w:eastAsia="zh-CN"/>
              </w:rPr>
              <w:t>20</w:t>
            </w:r>
            <w:r>
              <w:rPr>
                <w:rFonts w:hint="eastAsia" w:ascii="仿宋_GB2312" w:hAnsi="仿宋_GB2312" w:eastAsia="仿宋_GB2312" w:cs="仿宋_GB2312"/>
                <w:bCs/>
                <w:sz w:val="28"/>
                <w:szCs w:val="28"/>
              </w:rPr>
              <w:t>年度部门预算支出</w:t>
            </w:r>
            <w:r>
              <w:rPr>
                <w:rFonts w:hint="eastAsia" w:ascii="仿宋_GB2312" w:hAnsi="仿宋_GB2312" w:eastAsia="仿宋_GB2312" w:cs="仿宋_GB2312"/>
                <w:bCs/>
                <w:sz w:val="28"/>
                <w:szCs w:val="28"/>
                <w:lang w:val="en-US" w:eastAsia="zh-CN"/>
              </w:rPr>
              <w:t>4524</w:t>
            </w:r>
            <w:r>
              <w:rPr>
                <w:rFonts w:hint="eastAsia" w:ascii="仿宋_GB2312" w:hAnsi="仿宋_GB2312" w:eastAsia="仿宋_GB2312" w:cs="仿宋_GB2312"/>
                <w:bCs/>
                <w:sz w:val="28"/>
                <w:szCs w:val="28"/>
              </w:rPr>
              <w:t>万元，其中基本支出</w:t>
            </w:r>
            <w:r>
              <w:rPr>
                <w:rFonts w:hint="eastAsia" w:ascii="仿宋_GB2312" w:hAnsi="仿宋_GB2312" w:eastAsia="仿宋_GB2312" w:cs="仿宋_GB2312"/>
                <w:bCs/>
                <w:sz w:val="28"/>
                <w:szCs w:val="28"/>
                <w:lang w:val="en-US" w:eastAsia="zh-CN"/>
              </w:rPr>
              <w:t xml:space="preserve"> 90.77</w:t>
            </w:r>
            <w:r>
              <w:rPr>
                <w:rFonts w:hint="eastAsia" w:ascii="仿宋_GB2312" w:hAnsi="仿宋_GB2312" w:eastAsia="仿宋_GB2312" w:cs="仿宋_GB2312"/>
                <w:bCs/>
                <w:sz w:val="28"/>
                <w:szCs w:val="28"/>
              </w:rPr>
              <w:t>万元，使用内容为人员经费和日常公用经费；项目支出</w:t>
            </w:r>
            <w:r>
              <w:rPr>
                <w:rFonts w:hint="eastAsia" w:ascii="仿宋_GB2312" w:hAnsi="仿宋_GB2312" w:eastAsia="仿宋_GB2312" w:cs="仿宋_GB2312"/>
                <w:bCs/>
                <w:sz w:val="28"/>
                <w:szCs w:val="28"/>
                <w:lang w:val="en-US" w:eastAsia="zh-CN"/>
              </w:rPr>
              <w:t>4433.23</w:t>
            </w:r>
            <w:r>
              <w:rPr>
                <w:rFonts w:hint="eastAsia" w:ascii="仿宋_GB2312" w:hAnsi="仿宋_GB2312" w:eastAsia="仿宋_GB2312" w:cs="仿宋_GB2312"/>
                <w:bCs/>
                <w:sz w:val="28"/>
                <w:szCs w:val="28"/>
              </w:rPr>
              <w:t>万元，使用内容为：招商引资经费支出、孵化器众创空间运营经费支出、申报国家级高新区支出、对企业的奖励支出等。</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部门基本支出的范围和主要用途包括部门的人员经费和日常公用经费。具体包括：工资福利支出、对个人和家庭的补助、商品和服务支出、其他资本性支出等。其中人员经费支出</w:t>
            </w:r>
            <w:r>
              <w:rPr>
                <w:rFonts w:hint="eastAsia" w:ascii="仿宋_GB2312" w:hAnsi="仿宋_GB2312" w:eastAsia="仿宋_GB2312" w:cs="仿宋_GB2312"/>
                <w:bCs/>
                <w:sz w:val="28"/>
                <w:szCs w:val="28"/>
                <w:lang w:val="en-US" w:eastAsia="zh-CN"/>
              </w:rPr>
              <w:t xml:space="preserve"> 81.77</w:t>
            </w:r>
            <w:r>
              <w:rPr>
                <w:rFonts w:hint="eastAsia" w:ascii="仿宋_GB2312" w:hAnsi="仿宋_GB2312" w:eastAsia="仿宋_GB2312" w:cs="仿宋_GB2312"/>
                <w:bCs/>
                <w:sz w:val="28"/>
                <w:szCs w:val="28"/>
              </w:rPr>
              <w:t>万元，公用经费支出</w:t>
            </w:r>
            <w:r>
              <w:rPr>
                <w:rFonts w:hint="eastAsia" w:ascii="仿宋_GB2312" w:hAnsi="仿宋_GB2312" w:eastAsia="仿宋_GB2312" w:cs="仿宋_GB2312"/>
                <w:bCs/>
                <w:sz w:val="28"/>
                <w:szCs w:val="28"/>
                <w:lang w:val="en-US" w:eastAsia="zh-CN"/>
              </w:rPr>
              <w:t xml:space="preserve"> 9</w:t>
            </w:r>
            <w:r>
              <w:rPr>
                <w:rFonts w:hint="eastAsia" w:ascii="仿宋_GB2312" w:hAnsi="仿宋_GB2312" w:eastAsia="仿宋_GB2312" w:cs="仿宋_GB2312"/>
                <w:bCs/>
                <w:sz w:val="28"/>
                <w:szCs w:val="28"/>
              </w:rPr>
              <w:t>万元，总计</w:t>
            </w:r>
            <w:r>
              <w:rPr>
                <w:rFonts w:hint="eastAsia" w:ascii="仿宋_GB2312" w:hAnsi="仿宋_GB2312" w:eastAsia="仿宋_GB2312" w:cs="仿宋_GB2312"/>
                <w:bCs/>
                <w:sz w:val="28"/>
                <w:szCs w:val="28"/>
                <w:lang w:val="en-US" w:eastAsia="zh-CN"/>
              </w:rPr>
              <w:t xml:space="preserve">  90.77</w:t>
            </w:r>
            <w:r>
              <w:rPr>
                <w:rFonts w:hint="eastAsia" w:ascii="仿宋_GB2312" w:hAnsi="仿宋_GB2312" w:eastAsia="仿宋_GB2312" w:cs="仿宋_GB2312"/>
                <w:bCs/>
                <w:sz w:val="28"/>
                <w:szCs w:val="28"/>
              </w:rPr>
              <w:t>万元。</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1、专项资金安排落实、总投入等情况分析：年初专项资金预算为</w:t>
            </w:r>
            <w:r>
              <w:rPr>
                <w:rFonts w:hint="eastAsia" w:ascii="仿宋_GB2312" w:hAnsi="仿宋_GB2312" w:eastAsia="仿宋_GB2312" w:cs="仿宋_GB2312"/>
                <w:bCs/>
                <w:sz w:val="28"/>
                <w:szCs w:val="28"/>
                <w:lang w:val="en-US" w:eastAsia="zh-CN"/>
              </w:rPr>
              <w:t>8039</w:t>
            </w:r>
            <w:r>
              <w:rPr>
                <w:rFonts w:hint="eastAsia" w:ascii="仿宋_GB2312" w:hAnsi="仿宋_GB2312" w:eastAsia="仿宋_GB2312" w:cs="仿宋_GB2312"/>
                <w:bCs/>
                <w:sz w:val="28"/>
                <w:szCs w:val="28"/>
              </w:rPr>
              <w:t>万元，本年专项资金收入</w:t>
            </w:r>
            <w:r>
              <w:rPr>
                <w:rFonts w:hint="eastAsia" w:ascii="仿宋_GB2312" w:hAnsi="仿宋_GB2312" w:eastAsia="仿宋_GB2312" w:cs="仿宋_GB2312"/>
                <w:bCs/>
                <w:sz w:val="28"/>
                <w:szCs w:val="28"/>
                <w:lang w:val="en-US" w:eastAsia="zh-CN"/>
              </w:rPr>
              <w:t>8039</w:t>
            </w:r>
            <w:r>
              <w:rPr>
                <w:rFonts w:hint="eastAsia" w:ascii="仿宋_GB2312" w:hAnsi="仿宋_GB2312" w:eastAsia="仿宋_GB2312" w:cs="仿宋_GB2312"/>
                <w:bCs/>
                <w:sz w:val="28"/>
                <w:szCs w:val="28"/>
              </w:rPr>
              <w:t>万元。</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2、专项资金实际使用情况分析：本年专项资金共计支出</w:t>
            </w:r>
            <w:r>
              <w:rPr>
                <w:rFonts w:hint="eastAsia" w:ascii="仿宋_GB2312" w:hAnsi="仿宋_GB2312" w:eastAsia="仿宋_GB2312" w:cs="仿宋_GB2312"/>
                <w:bCs/>
                <w:sz w:val="28"/>
                <w:szCs w:val="28"/>
                <w:lang w:val="en-US" w:eastAsia="zh-CN"/>
              </w:rPr>
              <w:t>4433.23</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，结余</w:t>
            </w:r>
            <w:r>
              <w:rPr>
                <w:rFonts w:hint="eastAsia" w:ascii="仿宋_GB2312" w:hAnsi="仿宋_GB2312" w:eastAsia="仿宋_GB2312" w:cs="仿宋_GB2312"/>
                <w:bCs/>
                <w:sz w:val="28"/>
                <w:szCs w:val="28"/>
                <w:lang w:val="en-US" w:eastAsia="zh-CN"/>
              </w:rPr>
              <w:t>3605.77万元已上缴财政</w:t>
            </w:r>
            <w:r>
              <w:rPr>
                <w:rFonts w:hint="eastAsia" w:ascii="仿宋_GB2312" w:hAnsi="仿宋_GB2312" w:eastAsia="仿宋_GB2312" w:cs="仿宋_GB2312"/>
                <w:bCs/>
                <w:sz w:val="28"/>
                <w:szCs w:val="28"/>
              </w:rPr>
              <w:t>。</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3、专项资金管理情况分析：评价小组对项目资金管理情况进行了现场评价，评价表明：一是资金支付依据合法合规，资金审批程序严格；二是项目资金做到专款专用。</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1、专项组织情况分析：部门严格遵循把财政资金使用好、管理好的宗旨，基本做到了专款专用，严格资金审批程序，确保了项目质量，及财政资金的安全。</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2、专项管理情况分析：为保证各专项资金目标顺利完成，各科室协调配合，积极支持，资金的使用有待进一步合理、严谨。</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四、部门（单位）整体支出绩效情况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1、本年预算配置控制较好，财政供养人员控制在预算编制以内，编制内在职人员控制在预算编制以内；三公经费预算总额较上年减少。</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2、预算执行方面，支出总额控制在预算总额以内；不存在截留或滞留专项资金情况；三公经费总额和财政拨款支出三公经费总体控制较好。</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预算管理方面，制度执行总体较为有效，仍需进一步强化；资金使用管理需进一步加强。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资产管理方面定期进行了盘点和资产清理，总体执行较好。</w:t>
            </w:r>
          </w:p>
          <w:p>
            <w:pPr>
              <w:spacing w:line="560" w:lineRule="exact"/>
              <w:ind w:firstLine="560" w:firstLineChars="200"/>
              <w:rPr>
                <w:rFonts w:ascii="黑体" w:hAnsi="黑体" w:eastAsia="黑体" w:cs="黑体"/>
                <w:bCs/>
                <w:sz w:val="28"/>
                <w:szCs w:val="28"/>
              </w:rPr>
            </w:pPr>
            <w:r>
              <w:rPr>
                <w:rFonts w:hint="eastAsia" w:ascii="仿宋_GB2312" w:hAnsi="仿宋_GB2312" w:eastAsia="仿宋_GB2312" w:cs="仿宋_GB2312"/>
                <w:bCs/>
                <w:sz w:val="28"/>
                <w:szCs w:val="28"/>
              </w:rPr>
              <w:t>根据部门整体支出绩效评价指标体系，本部门20</w:t>
            </w:r>
            <w:r>
              <w:rPr>
                <w:rFonts w:hint="eastAsia" w:ascii="仿宋_GB2312" w:hAnsi="仿宋_GB2312" w:eastAsia="仿宋_GB2312" w:cs="仿宋_GB2312"/>
                <w:bCs/>
                <w:sz w:val="28"/>
                <w:szCs w:val="28"/>
                <w:lang w:val="en-US" w:eastAsia="zh-CN"/>
              </w:rPr>
              <w:t>20</w:t>
            </w:r>
            <w:r>
              <w:rPr>
                <w:rFonts w:hint="eastAsia" w:ascii="仿宋_GB2312" w:hAnsi="仿宋_GB2312" w:eastAsia="仿宋_GB2312" w:cs="仿宋_GB2312"/>
                <w:bCs/>
                <w:sz w:val="28"/>
                <w:szCs w:val="28"/>
              </w:rPr>
              <w:t>年度评价得分98分。</w:t>
            </w:r>
          </w:p>
          <w:p>
            <w:pPr>
              <w:spacing w:line="560" w:lineRule="exact"/>
              <w:ind w:firstLine="560" w:firstLineChars="200"/>
              <w:rPr>
                <w:rFonts w:hint="eastAsia" w:ascii="黑体" w:hAnsi="黑体" w:eastAsia="黑体" w:cs="黑体"/>
                <w:bCs/>
                <w:sz w:val="28"/>
                <w:szCs w:val="28"/>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五、存在的主要问题</w:t>
            </w:r>
          </w:p>
          <w:p>
            <w:pPr>
              <w:pStyle w:val="6"/>
              <w:spacing w:before="0" w:beforeAutospacing="0" w:after="0" w:afterAutospacing="0" w:line="33" w:lineRule="atLeast"/>
              <w:ind w:firstLine="560" w:firstLineChars="200"/>
              <w:jc w:val="both"/>
              <w:rPr>
                <w:rFonts w:ascii="仿宋_GB2312" w:hAnsi="仿宋_GB2312" w:eastAsia="仿宋_GB2312" w:cs="仿宋_GB2312"/>
                <w:bCs/>
                <w:sz w:val="28"/>
                <w:szCs w:val="28"/>
              </w:rPr>
            </w:pPr>
            <w:bookmarkStart w:id="0" w:name="_GoBack"/>
            <w:bookmarkEnd w:id="0"/>
            <w:r>
              <w:rPr>
                <w:rFonts w:hint="eastAsia" w:ascii="仿宋_GB2312" w:hAnsi="仿宋_GB2312" w:eastAsia="仿宋_GB2312" w:cs="仿宋_GB2312"/>
                <w:bCs/>
                <w:sz w:val="28"/>
                <w:szCs w:val="28"/>
              </w:rPr>
              <w:t>一是预算编制有待进一步加强，确保预算执行力度。预算管理制度不够健全，相应的管理制度还需要更加有效地执行。</w:t>
            </w:r>
          </w:p>
          <w:p>
            <w:pPr>
              <w:spacing w:line="560" w:lineRule="exact"/>
              <w:ind w:firstLine="560" w:firstLineChars="200"/>
              <w:rPr>
                <w:rFonts w:ascii="黑体" w:hAnsi="黑体" w:eastAsia="黑体" w:cs="黑体"/>
                <w:bCs/>
                <w:sz w:val="28"/>
                <w:szCs w:val="28"/>
              </w:rPr>
            </w:pPr>
            <w:r>
              <w:rPr>
                <w:rFonts w:hint="eastAsia" w:ascii="仿宋_GB2312" w:hAnsi="仿宋_GB2312" w:eastAsia="仿宋_GB2312" w:cs="仿宋_GB2312"/>
                <w:bCs/>
                <w:sz w:val="28"/>
                <w:szCs w:val="28"/>
              </w:rPr>
              <w:t>二是资金安排并用于产生生态效益、经济效益的活动、项目有待于探索和加强。</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六、改进措施和有关建议</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一是加强学习。建议组织财务人员和部门工作人员预算、绩效工作培训，加强预算、绩效管理意识。</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二是严格财务审核，按照预算规定的项目进行财务核算，在预算金额内严格控制费用开支。</w:t>
            </w:r>
          </w:p>
          <w:p>
            <w:pPr>
              <w:rPr>
                <w:rFonts w:eastAsia="楷体_GB2312"/>
                <w:bCs/>
                <w:sz w:val="28"/>
                <w:szCs w:val="28"/>
              </w:rPr>
            </w:pPr>
          </w:p>
        </w:tc>
      </w:tr>
    </w:tbl>
    <w:p>
      <w:pPr>
        <w:spacing w:line="348" w:lineRule="auto"/>
        <w:rPr>
          <w:rFonts w:eastAsia="楷体_GB2312"/>
          <w:bCs/>
          <w:sz w:val="28"/>
          <w:szCs w:val="28"/>
        </w:rPr>
      </w:pPr>
    </w:p>
    <w:p>
      <w:pPr>
        <w:spacing w:line="348" w:lineRule="auto"/>
        <w:rPr>
          <w:rFonts w:ascii="黑体" w:hAnsi="黑体" w:eastAsia="黑体"/>
          <w:sz w:val="32"/>
          <w:szCs w:val="32"/>
        </w:rPr>
      </w:pPr>
      <w:r>
        <w:rPr>
          <w:rFonts w:eastAsia="楷体_GB2312"/>
          <w:bCs/>
          <w:sz w:val="28"/>
          <w:szCs w:val="28"/>
        </w:rPr>
        <w:br w:type="page"/>
      </w:r>
      <w:r>
        <w:rPr>
          <w:rFonts w:ascii="黑体" w:hAnsi="黑体" w:eastAsia="黑体"/>
          <w:sz w:val="32"/>
          <w:szCs w:val="32"/>
        </w:rPr>
        <w:t xml:space="preserve"> </w:t>
      </w:r>
      <w:r>
        <w:rPr>
          <w:rFonts w:hint="eastAsia" w:ascii="黑体" w:hAnsi="黑体" w:eastAsia="黑体"/>
          <w:sz w:val="32"/>
          <w:szCs w:val="32"/>
        </w:rPr>
        <w:t>附件3-1</w:t>
      </w:r>
    </w:p>
    <w:p>
      <w:pPr>
        <w:spacing w:beforeLines="100"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7"/>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7"/>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98</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spacing w:beforeLines="50" w:line="560" w:lineRule="exact"/>
        <w:rPr>
          <w:rFonts w:ascii="黑体" w:hAnsi="黑体" w:eastAsia="黑体"/>
          <w:sz w:val="32"/>
          <w:szCs w:val="32"/>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sz w:val="24"/>
        <w:szCs w:val="24"/>
      </w:rPr>
    </w:pPr>
    <w:r>
      <w:rPr>
        <w:rStyle w:val="9"/>
        <w:rFonts w:hint="eastAsia"/>
        <w:sz w:val="24"/>
        <w:szCs w:val="24"/>
      </w:rPr>
      <w:t xml:space="preserve">— </w:t>
    </w:r>
    <w:r>
      <w:rPr>
        <w:sz w:val="24"/>
        <w:szCs w:val="24"/>
      </w:rPr>
      <w:fldChar w:fldCharType="begin"/>
    </w:r>
    <w:r>
      <w:rPr>
        <w:rStyle w:val="9"/>
        <w:sz w:val="24"/>
        <w:szCs w:val="24"/>
      </w:rPr>
      <w:instrText xml:space="preserve">PAGE  </w:instrText>
    </w:r>
    <w:r>
      <w:rPr>
        <w:sz w:val="24"/>
        <w:szCs w:val="24"/>
      </w:rPr>
      <w:fldChar w:fldCharType="separate"/>
    </w:r>
    <w:r>
      <w:rPr>
        <w:rStyle w:val="9"/>
        <w:sz w:val="24"/>
        <w:szCs w:val="24"/>
      </w:rPr>
      <w:t>1</w:t>
    </w:r>
    <w:r>
      <w:rPr>
        <w:sz w:val="24"/>
        <w:szCs w:val="24"/>
      </w:rPr>
      <w:fldChar w:fldCharType="end"/>
    </w:r>
    <w:r>
      <w:rPr>
        <w:rStyle w:val="9"/>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443"/>
    <w:rsid w:val="00180538"/>
    <w:rsid w:val="002B225E"/>
    <w:rsid w:val="003476DA"/>
    <w:rsid w:val="00461790"/>
    <w:rsid w:val="004924F7"/>
    <w:rsid w:val="005C3316"/>
    <w:rsid w:val="00613443"/>
    <w:rsid w:val="0065307D"/>
    <w:rsid w:val="0067244E"/>
    <w:rsid w:val="008414D7"/>
    <w:rsid w:val="009855D7"/>
    <w:rsid w:val="009F574E"/>
    <w:rsid w:val="00AB7BC4"/>
    <w:rsid w:val="00AC7FB1"/>
    <w:rsid w:val="00C21710"/>
    <w:rsid w:val="00C466AD"/>
    <w:rsid w:val="00CA4FA9"/>
    <w:rsid w:val="00E71FEB"/>
    <w:rsid w:val="00E84FD2"/>
    <w:rsid w:val="00F2502C"/>
    <w:rsid w:val="00F82157"/>
    <w:rsid w:val="01107C82"/>
    <w:rsid w:val="017D346C"/>
    <w:rsid w:val="01D077DA"/>
    <w:rsid w:val="02127947"/>
    <w:rsid w:val="02167A42"/>
    <w:rsid w:val="021F7AAA"/>
    <w:rsid w:val="022601C1"/>
    <w:rsid w:val="02522BC2"/>
    <w:rsid w:val="02582514"/>
    <w:rsid w:val="025E5CE1"/>
    <w:rsid w:val="026563E2"/>
    <w:rsid w:val="02B001C6"/>
    <w:rsid w:val="02B225D1"/>
    <w:rsid w:val="02D25967"/>
    <w:rsid w:val="02E24272"/>
    <w:rsid w:val="03141126"/>
    <w:rsid w:val="03200158"/>
    <w:rsid w:val="035D6771"/>
    <w:rsid w:val="036A5BFE"/>
    <w:rsid w:val="038B5F3A"/>
    <w:rsid w:val="03A37882"/>
    <w:rsid w:val="04257815"/>
    <w:rsid w:val="047765AD"/>
    <w:rsid w:val="04D660D2"/>
    <w:rsid w:val="05375021"/>
    <w:rsid w:val="05547424"/>
    <w:rsid w:val="057F0AC2"/>
    <w:rsid w:val="058303BF"/>
    <w:rsid w:val="05E57AB0"/>
    <w:rsid w:val="060422AA"/>
    <w:rsid w:val="060C5611"/>
    <w:rsid w:val="062C3B60"/>
    <w:rsid w:val="06836553"/>
    <w:rsid w:val="06AA61AA"/>
    <w:rsid w:val="06CC6CF9"/>
    <w:rsid w:val="06D4367B"/>
    <w:rsid w:val="06F674DA"/>
    <w:rsid w:val="06FB2EA4"/>
    <w:rsid w:val="07137EAB"/>
    <w:rsid w:val="07250CE5"/>
    <w:rsid w:val="07373D73"/>
    <w:rsid w:val="07917F09"/>
    <w:rsid w:val="07A17A0F"/>
    <w:rsid w:val="07B33877"/>
    <w:rsid w:val="07C304F7"/>
    <w:rsid w:val="07DC7BCB"/>
    <w:rsid w:val="07E723C6"/>
    <w:rsid w:val="08196EEC"/>
    <w:rsid w:val="08360913"/>
    <w:rsid w:val="085B085C"/>
    <w:rsid w:val="085E57FA"/>
    <w:rsid w:val="088A17A9"/>
    <w:rsid w:val="08D62EF5"/>
    <w:rsid w:val="08DD764C"/>
    <w:rsid w:val="0916775D"/>
    <w:rsid w:val="093B396B"/>
    <w:rsid w:val="0958517C"/>
    <w:rsid w:val="09D151CA"/>
    <w:rsid w:val="0A3029CE"/>
    <w:rsid w:val="0A3E1FCD"/>
    <w:rsid w:val="0A63013D"/>
    <w:rsid w:val="0AF22A5F"/>
    <w:rsid w:val="0AF640EF"/>
    <w:rsid w:val="0B2A0AAD"/>
    <w:rsid w:val="0B366EFA"/>
    <w:rsid w:val="0B5B16F5"/>
    <w:rsid w:val="0B6F6880"/>
    <w:rsid w:val="0BAE6910"/>
    <w:rsid w:val="0BEB5F27"/>
    <w:rsid w:val="0BF87823"/>
    <w:rsid w:val="0C102A48"/>
    <w:rsid w:val="0C234ABA"/>
    <w:rsid w:val="0C474DD0"/>
    <w:rsid w:val="0C532375"/>
    <w:rsid w:val="0C5A7952"/>
    <w:rsid w:val="0C6018D2"/>
    <w:rsid w:val="0C6176A2"/>
    <w:rsid w:val="0C6C2FDE"/>
    <w:rsid w:val="0CB55ECF"/>
    <w:rsid w:val="0CC3376F"/>
    <w:rsid w:val="0CD93783"/>
    <w:rsid w:val="0DA1540A"/>
    <w:rsid w:val="0DAE4F58"/>
    <w:rsid w:val="0DF543DD"/>
    <w:rsid w:val="0E013D23"/>
    <w:rsid w:val="0E183346"/>
    <w:rsid w:val="0E250CDA"/>
    <w:rsid w:val="0E5D5F66"/>
    <w:rsid w:val="0EC01E36"/>
    <w:rsid w:val="0F055750"/>
    <w:rsid w:val="0F2356F4"/>
    <w:rsid w:val="0F2911C5"/>
    <w:rsid w:val="0F32285F"/>
    <w:rsid w:val="0F3B0F2F"/>
    <w:rsid w:val="0F8B0F5C"/>
    <w:rsid w:val="0F8F0319"/>
    <w:rsid w:val="0FD92ADF"/>
    <w:rsid w:val="0FE95AC5"/>
    <w:rsid w:val="0FF46B99"/>
    <w:rsid w:val="10161E67"/>
    <w:rsid w:val="103C032F"/>
    <w:rsid w:val="10885DB5"/>
    <w:rsid w:val="108B5DAE"/>
    <w:rsid w:val="10A55B9D"/>
    <w:rsid w:val="10A62651"/>
    <w:rsid w:val="10BA03F3"/>
    <w:rsid w:val="10BD73E6"/>
    <w:rsid w:val="10D7784C"/>
    <w:rsid w:val="10DE299E"/>
    <w:rsid w:val="10FD7088"/>
    <w:rsid w:val="119247E9"/>
    <w:rsid w:val="119A746D"/>
    <w:rsid w:val="12184F5E"/>
    <w:rsid w:val="12220B23"/>
    <w:rsid w:val="126730B9"/>
    <w:rsid w:val="12680807"/>
    <w:rsid w:val="13114125"/>
    <w:rsid w:val="13232138"/>
    <w:rsid w:val="13651655"/>
    <w:rsid w:val="13A364A2"/>
    <w:rsid w:val="13AF4017"/>
    <w:rsid w:val="13CE15DF"/>
    <w:rsid w:val="13EB58A9"/>
    <w:rsid w:val="141C7659"/>
    <w:rsid w:val="14346FED"/>
    <w:rsid w:val="144F1C8C"/>
    <w:rsid w:val="14766841"/>
    <w:rsid w:val="14B16A92"/>
    <w:rsid w:val="14C41CDC"/>
    <w:rsid w:val="14C65948"/>
    <w:rsid w:val="15146E96"/>
    <w:rsid w:val="15573171"/>
    <w:rsid w:val="156D1FDA"/>
    <w:rsid w:val="157F1228"/>
    <w:rsid w:val="15AD7611"/>
    <w:rsid w:val="15B3795C"/>
    <w:rsid w:val="15D601D7"/>
    <w:rsid w:val="16112DE1"/>
    <w:rsid w:val="161A7669"/>
    <w:rsid w:val="162F495C"/>
    <w:rsid w:val="16345C3D"/>
    <w:rsid w:val="16592159"/>
    <w:rsid w:val="167562A4"/>
    <w:rsid w:val="16984F5A"/>
    <w:rsid w:val="16DB407F"/>
    <w:rsid w:val="172928F3"/>
    <w:rsid w:val="17426B87"/>
    <w:rsid w:val="17443C69"/>
    <w:rsid w:val="17584626"/>
    <w:rsid w:val="17F41E05"/>
    <w:rsid w:val="17FE1CE0"/>
    <w:rsid w:val="18020424"/>
    <w:rsid w:val="18411C37"/>
    <w:rsid w:val="18484639"/>
    <w:rsid w:val="185D00A0"/>
    <w:rsid w:val="18651E77"/>
    <w:rsid w:val="187E6F15"/>
    <w:rsid w:val="18AF37B1"/>
    <w:rsid w:val="18BF4427"/>
    <w:rsid w:val="18D133E3"/>
    <w:rsid w:val="18D91343"/>
    <w:rsid w:val="18F57F23"/>
    <w:rsid w:val="19152196"/>
    <w:rsid w:val="191C07B4"/>
    <w:rsid w:val="1949236A"/>
    <w:rsid w:val="198C6354"/>
    <w:rsid w:val="19A17D8D"/>
    <w:rsid w:val="19CD424D"/>
    <w:rsid w:val="19E42C8D"/>
    <w:rsid w:val="1A034A07"/>
    <w:rsid w:val="1A070AC9"/>
    <w:rsid w:val="1A171379"/>
    <w:rsid w:val="1A2321FF"/>
    <w:rsid w:val="1A3A2565"/>
    <w:rsid w:val="1A4E7E68"/>
    <w:rsid w:val="1A573BBC"/>
    <w:rsid w:val="1A6F0D28"/>
    <w:rsid w:val="1A9F5FD8"/>
    <w:rsid w:val="1AAA5670"/>
    <w:rsid w:val="1AD14B9C"/>
    <w:rsid w:val="1AD55624"/>
    <w:rsid w:val="1B360D81"/>
    <w:rsid w:val="1B370F58"/>
    <w:rsid w:val="1B4B6DF6"/>
    <w:rsid w:val="1B5F3254"/>
    <w:rsid w:val="1B627F80"/>
    <w:rsid w:val="1BB52665"/>
    <w:rsid w:val="1BF11DF3"/>
    <w:rsid w:val="1BF25D8F"/>
    <w:rsid w:val="1BF56C6B"/>
    <w:rsid w:val="1BFC22B1"/>
    <w:rsid w:val="1BFC4101"/>
    <w:rsid w:val="1C1C5CBC"/>
    <w:rsid w:val="1C464186"/>
    <w:rsid w:val="1C6F3A98"/>
    <w:rsid w:val="1C774389"/>
    <w:rsid w:val="1C7F4856"/>
    <w:rsid w:val="1C8066D8"/>
    <w:rsid w:val="1C855C71"/>
    <w:rsid w:val="1CEB53B7"/>
    <w:rsid w:val="1D0A2509"/>
    <w:rsid w:val="1D1620EF"/>
    <w:rsid w:val="1D3D362A"/>
    <w:rsid w:val="1D751AB6"/>
    <w:rsid w:val="1D7859C2"/>
    <w:rsid w:val="1D7E4B11"/>
    <w:rsid w:val="1D8A22A3"/>
    <w:rsid w:val="1DF36440"/>
    <w:rsid w:val="1E080FDF"/>
    <w:rsid w:val="1E5C2E5E"/>
    <w:rsid w:val="1F1D1E93"/>
    <w:rsid w:val="1F895C4C"/>
    <w:rsid w:val="1FAD2019"/>
    <w:rsid w:val="1FCF3710"/>
    <w:rsid w:val="1FEC0CDF"/>
    <w:rsid w:val="1FEF61F1"/>
    <w:rsid w:val="20120D74"/>
    <w:rsid w:val="204D7E15"/>
    <w:rsid w:val="20860B3D"/>
    <w:rsid w:val="20924C4D"/>
    <w:rsid w:val="20982BD0"/>
    <w:rsid w:val="20BF1382"/>
    <w:rsid w:val="20D33057"/>
    <w:rsid w:val="212177C5"/>
    <w:rsid w:val="212D646E"/>
    <w:rsid w:val="21575F3A"/>
    <w:rsid w:val="216D2723"/>
    <w:rsid w:val="219D743C"/>
    <w:rsid w:val="21E23D53"/>
    <w:rsid w:val="21ED29DB"/>
    <w:rsid w:val="22104EDD"/>
    <w:rsid w:val="2211242E"/>
    <w:rsid w:val="224F61CE"/>
    <w:rsid w:val="22CA333C"/>
    <w:rsid w:val="22D018AF"/>
    <w:rsid w:val="230720DF"/>
    <w:rsid w:val="2308704C"/>
    <w:rsid w:val="234A7939"/>
    <w:rsid w:val="237C232E"/>
    <w:rsid w:val="237F017D"/>
    <w:rsid w:val="23956E4F"/>
    <w:rsid w:val="23A82DEB"/>
    <w:rsid w:val="23E50594"/>
    <w:rsid w:val="24534647"/>
    <w:rsid w:val="24CD1EEB"/>
    <w:rsid w:val="24DD42C3"/>
    <w:rsid w:val="24E145B1"/>
    <w:rsid w:val="25010E0C"/>
    <w:rsid w:val="256A6415"/>
    <w:rsid w:val="258A7FA8"/>
    <w:rsid w:val="25941349"/>
    <w:rsid w:val="26465045"/>
    <w:rsid w:val="264A16A9"/>
    <w:rsid w:val="265E7A19"/>
    <w:rsid w:val="26776186"/>
    <w:rsid w:val="26823325"/>
    <w:rsid w:val="26843F61"/>
    <w:rsid w:val="26B0217B"/>
    <w:rsid w:val="26B9163D"/>
    <w:rsid w:val="26C30D16"/>
    <w:rsid w:val="27127B8E"/>
    <w:rsid w:val="2731769B"/>
    <w:rsid w:val="27546ED6"/>
    <w:rsid w:val="275920ED"/>
    <w:rsid w:val="277B3E7B"/>
    <w:rsid w:val="27BB5B7A"/>
    <w:rsid w:val="27E97FF1"/>
    <w:rsid w:val="27F40C58"/>
    <w:rsid w:val="27FB6F98"/>
    <w:rsid w:val="280945B7"/>
    <w:rsid w:val="2814174E"/>
    <w:rsid w:val="28465A73"/>
    <w:rsid w:val="287A4044"/>
    <w:rsid w:val="287F2367"/>
    <w:rsid w:val="28902574"/>
    <w:rsid w:val="28C04CCD"/>
    <w:rsid w:val="2909235B"/>
    <w:rsid w:val="29096259"/>
    <w:rsid w:val="29103379"/>
    <w:rsid w:val="292673D8"/>
    <w:rsid w:val="29701D28"/>
    <w:rsid w:val="29844832"/>
    <w:rsid w:val="29AD1BDB"/>
    <w:rsid w:val="2A1C2376"/>
    <w:rsid w:val="2A4542C4"/>
    <w:rsid w:val="2A4E1BF9"/>
    <w:rsid w:val="2A6935E2"/>
    <w:rsid w:val="2A713A28"/>
    <w:rsid w:val="2A926A42"/>
    <w:rsid w:val="2ADF5931"/>
    <w:rsid w:val="2AE17A3D"/>
    <w:rsid w:val="2B0E6783"/>
    <w:rsid w:val="2B321493"/>
    <w:rsid w:val="2B6706BA"/>
    <w:rsid w:val="2BB519D2"/>
    <w:rsid w:val="2BB72A2E"/>
    <w:rsid w:val="2BFE111C"/>
    <w:rsid w:val="2C0453F0"/>
    <w:rsid w:val="2C0F2573"/>
    <w:rsid w:val="2C110F1E"/>
    <w:rsid w:val="2C3347D8"/>
    <w:rsid w:val="2C8D4D23"/>
    <w:rsid w:val="2D4A068C"/>
    <w:rsid w:val="2D9E31C4"/>
    <w:rsid w:val="2D9F0C8A"/>
    <w:rsid w:val="2DBD4AB7"/>
    <w:rsid w:val="2DDF01CB"/>
    <w:rsid w:val="2DE40009"/>
    <w:rsid w:val="2E16358F"/>
    <w:rsid w:val="2E2B54E9"/>
    <w:rsid w:val="2E7B0F91"/>
    <w:rsid w:val="2EB85E43"/>
    <w:rsid w:val="2EC34D8E"/>
    <w:rsid w:val="2EEA4387"/>
    <w:rsid w:val="2EED5511"/>
    <w:rsid w:val="2F0B0EC7"/>
    <w:rsid w:val="2F10734B"/>
    <w:rsid w:val="2F335922"/>
    <w:rsid w:val="2F3D1E75"/>
    <w:rsid w:val="2F4F2830"/>
    <w:rsid w:val="2F977BDA"/>
    <w:rsid w:val="2FB13E6A"/>
    <w:rsid w:val="2FCC7C04"/>
    <w:rsid w:val="301B671C"/>
    <w:rsid w:val="302F103B"/>
    <w:rsid w:val="30383924"/>
    <w:rsid w:val="304463DA"/>
    <w:rsid w:val="305B2247"/>
    <w:rsid w:val="309A69EB"/>
    <w:rsid w:val="30AB137C"/>
    <w:rsid w:val="30DB02C9"/>
    <w:rsid w:val="310A33BE"/>
    <w:rsid w:val="311E5D4F"/>
    <w:rsid w:val="312B48DE"/>
    <w:rsid w:val="313E78A4"/>
    <w:rsid w:val="315234FE"/>
    <w:rsid w:val="31604FE0"/>
    <w:rsid w:val="31A12ECD"/>
    <w:rsid w:val="31B63D32"/>
    <w:rsid w:val="320A4BC4"/>
    <w:rsid w:val="32C7404B"/>
    <w:rsid w:val="3334489F"/>
    <w:rsid w:val="33386B81"/>
    <w:rsid w:val="33C60923"/>
    <w:rsid w:val="33C62ED0"/>
    <w:rsid w:val="33D94433"/>
    <w:rsid w:val="33DA6BC9"/>
    <w:rsid w:val="33ED0F67"/>
    <w:rsid w:val="341829FE"/>
    <w:rsid w:val="344945D7"/>
    <w:rsid w:val="344C6D85"/>
    <w:rsid w:val="34B65A5E"/>
    <w:rsid w:val="34F90F29"/>
    <w:rsid w:val="34F97AE2"/>
    <w:rsid w:val="35066451"/>
    <w:rsid w:val="3552388A"/>
    <w:rsid w:val="35695718"/>
    <w:rsid w:val="3572653A"/>
    <w:rsid w:val="359833B6"/>
    <w:rsid w:val="35BE50F1"/>
    <w:rsid w:val="35CE1368"/>
    <w:rsid w:val="35F92350"/>
    <w:rsid w:val="36116DD0"/>
    <w:rsid w:val="362C4156"/>
    <w:rsid w:val="363857CF"/>
    <w:rsid w:val="363A108E"/>
    <w:rsid w:val="36B505AA"/>
    <w:rsid w:val="36FD19EA"/>
    <w:rsid w:val="3703569F"/>
    <w:rsid w:val="3706341F"/>
    <w:rsid w:val="37515A8A"/>
    <w:rsid w:val="3764588F"/>
    <w:rsid w:val="37A416F2"/>
    <w:rsid w:val="37DB6E14"/>
    <w:rsid w:val="37E6264E"/>
    <w:rsid w:val="380001BD"/>
    <w:rsid w:val="382B3FB4"/>
    <w:rsid w:val="38354A5E"/>
    <w:rsid w:val="383E2381"/>
    <w:rsid w:val="3886300E"/>
    <w:rsid w:val="3896548B"/>
    <w:rsid w:val="38AF57B3"/>
    <w:rsid w:val="38C01777"/>
    <w:rsid w:val="38CE32A1"/>
    <w:rsid w:val="39917551"/>
    <w:rsid w:val="39A45DDD"/>
    <w:rsid w:val="39C96BB0"/>
    <w:rsid w:val="39DB6F9D"/>
    <w:rsid w:val="3A5B4BDB"/>
    <w:rsid w:val="3A902AEE"/>
    <w:rsid w:val="3AD370A7"/>
    <w:rsid w:val="3ADF3BA3"/>
    <w:rsid w:val="3AEF55D2"/>
    <w:rsid w:val="3B1C0311"/>
    <w:rsid w:val="3B2D3B0A"/>
    <w:rsid w:val="3B332741"/>
    <w:rsid w:val="3B455046"/>
    <w:rsid w:val="3B6F49DE"/>
    <w:rsid w:val="3B90144A"/>
    <w:rsid w:val="3BAE5444"/>
    <w:rsid w:val="3BC87C06"/>
    <w:rsid w:val="3BD637F6"/>
    <w:rsid w:val="3C042588"/>
    <w:rsid w:val="3C2148AE"/>
    <w:rsid w:val="3C2E4C97"/>
    <w:rsid w:val="3C7D7D6F"/>
    <w:rsid w:val="3CF72B75"/>
    <w:rsid w:val="3D136F76"/>
    <w:rsid w:val="3D4D306E"/>
    <w:rsid w:val="3DDA68C7"/>
    <w:rsid w:val="3DEA24AC"/>
    <w:rsid w:val="3E0052AE"/>
    <w:rsid w:val="3E233923"/>
    <w:rsid w:val="3E845B10"/>
    <w:rsid w:val="3E9B5FAE"/>
    <w:rsid w:val="3EF43F8C"/>
    <w:rsid w:val="3F2B23AA"/>
    <w:rsid w:val="3F5B793C"/>
    <w:rsid w:val="3F84657E"/>
    <w:rsid w:val="3FA2017C"/>
    <w:rsid w:val="3FE5300D"/>
    <w:rsid w:val="401A4CB6"/>
    <w:rsid w:val="402670AD"/>
    <w:rsid w:val="40A05821"/>
    <w:rsid w:val="40B63C84"/>
    <w:rsid w:val="40B731BB"/>
    <w:rsid w:val="4105727D"/>
    <w:rsid w:val="41326EE3"/>
    <w:rsid w:val="41F22C38"/>
    <w:rsid w:val="41F66BB5"/>
    <w:rsid w:val="41FC476F"/>
    <w:rsid w:val="42A65733"/>
    <w:rsid w:val="42AC50EC"/>
    <w:rsid w:val="42DB0421"/>
    <w:rsid w:val="4311709A"/>
    <w:rsid w:val="432B47E1"/>
    <w:rsid w:val="43330688"/>
    <w:rsid w:val="436C3B94"/>
    <w:rsid w:val="43AA3BC5"/>
    <w:rsid w:val="43C56BE0"/>
    <w:rsid w:val="4473729B"/>
    <w:rsid w:val="44905757"/>
    <w:rsid w:val="44F80C6D"/>
    <w:rsid w:val="45053768"/>
    <w:rsid w:val="45431976"/>
    <w:rsid w:val="45460F28"/>
    <w:rsid w:val="45532235"/>
    <w:rsid w:val="45911EDD"/>
    <w:rsid w:val="462B7DD8"/>
    <w:rsid w:val="463549FC"/>
    <w:rsid w:val="463C33AF"/>
    <w:rsid w:val="464D072C"/>
    <w:rsid w:val="46770045"/>
    <w:rsid w:val="46A05104"/>
    <w:rsid w:val="46B06390"/>
    <w:rsid w:val="46EF66B0"/>
    <w:rsid w:val="46FA6B5E"/>
    <w:rsid w:val="474E1203"/>
    <w:rsid w:val="475620FC"/>
    <w:rsid w:val="4777362E"/>
    <w:rsid w:val="4783797C"/>
    <w:rsid w:val="478C284A"/>
    <w:rsid w:val="47C2253E"/>
    <w:rsid w:val="47FB1F40"/>
    <w:rsid w:val="480E076D"/>
    <w:rsid w:val="48456C3E"/>
    <w:rsid w:val="4862056D"/>
    <w:rsid w:val="4878494F"/>
    <w:rsid w:val="48AE0412"/>
    <w:rsid w:val="492F50AE"/>
    <w:rsid w:val="496B06AE"/>
    <w:rsid w:val="497B48F6"/>
    <w:rsid w:val="4A2508AD"/>
    <w:rsid w:val="4AB31CBA"/>
    <w:rsid w:val="4ABC23B8"/>
    <w:rsid w:val="4ADB57DE"/>
    <w:rsid w:val="4B5132B2"/>
    <w:rsid w:val="4B7F2B05"/>
    <w:rsid w:val="4B800A99"/>
    <w:rsid w:val="4BBA7C75"/>
    <w:rsid w:val="4BE240DF"/>
    <w:rsid w:val="4BFE7942"/>
    <w:rsid w:val="4C5F1445"/>
    <w:rsid w:val="4C6C2EF1"/>
    <w:rsid w:val="4C910BEF"/>
    <w:rsid w:val="4CAC7012"/>
    <w:rsid w:val="4CB530BE"/>
    <w:rsid w:val="4CB96D44"/>
    <w:rsid w:val="4CCF28A9"/>
    <w:rsid w:val="4CD038E2"/>
    <w:rsid w:val="4D0435B2"/>
    <w:rsid w:val="4D8F70AF"/>
    <w:rsid w:val="4DB43B96"/>
    <w:rsid w:val="4DC628A1"/>
    <w:rsid w:val="4E1913EF"/>
    <w:rsid w:val="4E1B3C85"/>
    <w:rsid w:val="4E3B5488"/>
    <w:rsid w:val="4E8F2532"/>
    <w:rsid w:val="4E921941"/>
    <w:rsid w:val="4EB703F1"/>
    <w:rsid w:val="4ECC45FF"/>
    <w:rsid w:val="4ED5126E"/>
    <w:rsid w:val="4EDD2266"/>
    <w:rsid w:val="4F33588A"/>
    <w:rsid w:val="4F5B694C"/>
    <w:rsid w:val="4F7C4FF6"/>
    <w:rsid w:val="4F8B29A0"/>
    <w:rsid w:val="4F9520CC"/>
    <w:rsid w:val="4FA709E8"/>
    <w:rsid w:val="4FBB18B8"/>
    <w:rsid w:val="4FF05AB3"/>
    <w:rsid w:val="50325AD4"/>
    <w:rsid w:val="50CC0304"/>
    <w:rsid w:val="51070954"/>
    <w:rsid w:val="513E5C41"/>
    <w:rsid w:val="514D6F55"/>
    <w:rsid w:val="518B6972"/>
    <w:rsid w:val="51DD0241"/>
    <w:rsid w:val="520B2591"/>
    <w:rsid w:val="521A2C1B"/>
    <w:rsid w:val="52427EC8"/>
    <w:rsid w:val="52567352"/>
    <w:rsid w:val="52702C4F"/>
    <w:rsid w:val="52887917"/>
    <w:rsid w:val="529E5F1F"/>
    <w:rsid w:val="52F32194"/>
    <w:rsid w:val="52FB62C0"/>
    <w:rsid w:val="531A3DD4"/>
    <w:rsid w:val="533F2EDB"/>
    <w:rsid w:val="533F7E56"/>
    <w:rsid w:val="534E2C97"/>
    <w:rsid w:val="53903086"/>
    <w:rsid w:val="53A553D8"/>
    <w:rsid w:val="53CB7E26"/>
    <w:rsid w:val="53D332B6"/>
    <w:rsid w:val="53ED5B7D"/>
    <w:rsid w:val="53FF04AB"/>
    <w:rsid w:val="540F67F9"/>
    <w:rsid w:val="54B21609"/>
    <w:rsid w:val="54BF1AC6"/>
    <w:rsid w:val="550B5361"/>
    <w:rsid w:val="55F07EB9"/>
    <w:rsid w:val="56054659"/>
    <w:rsid w:val="5683747A"/>
    <w:rsid w:val="568C34BC"/>
    <w:rsid w:val="568D43D6"/>
    <w:rsid w:val="56EB0E29"/>
    <w:rsid w:val="56ED3FA4"/>
    <w:rsid w:val="56F12281"/>
    <w:rsid w:val="573F3C3F"/>
    <w:rsid w:val="5746211B"/>
    <w:rsid w:val="57462196"/>
    <w:rsid w:val="574635BF"/>
    <w:rsid w:val="574C4525"/>
    <w:rsid w:val="576869D8"/>
    <w:rsid w:val="57731AC3"/>
    <w:rsid w:val="579A7C43"/>
    <w:rsid w:val="57BF5B62"/>
    <w:rsid w:val="57EF6F71"/>
    <w:rsid w:val="57F940E4"/>
    <w:rsid w:val="57FE2EF0"/>
    <w:rsid w:val="58207B79"/>
    <w:rsid w:val="58274D28"/>
    <w:rsid w:val="584A1E7D"/>
    <w:rsid w:val="584E1038"/>
    <w:rsid w:val="58705382"/>
    <w:rsid w:val="58855785"/>
    <w:rsid w:val="589D57C2"/>
    <w:rsid w:val="58B16903"/>
    <w:rsid w:val="58DC011C"/>
    <w:rsid w:val="58F03446"/>
    <w:rsid w:val="59172318"/>
    <w:rsid w:val="597424E7"/>
    <w:rsid w:val="59C71DA0"/>
    <w:rsid w:val="59EE5EB8"/>
    <w:rsid w:val="59F809A3"/>
    <w:rsid w:val="5A4F0653"/>
    <w:rsid w:val="5A760D2D"/>
    <w:rsid w:val="5A913BA5"/>
    <w:rsid w:val="5AA0153A"/>
    <w:rsid w:val="5AA06181"/>
    <w:rsid w:val="5B2623A5"/>
    <w:rsid w:val="5B2C6B99"/>
    <w:rsid w:val="5B525F25"/>
    <w:rsid w:val="5B6A51D7"/>
    <w:rsid w:val="5B6B532A"/>
    <w:rsid w:val="5BC40C16"/>
    <w:rsid w:val="5C415CC9"/>
    <w:rsid w:val="5C55757C"/>
    <w:rsid w:val="5C6334AB"/>
    <w:rsid w:val="5C8F36E2"/>
    <w:rsid w:val="5C931CE1"/>
    <w:rsid w:val="5CB102F5"/>
    <w:rsid w:val="5CE8148D"/>
    <w:rsid w:val="5CEB7E3D"/>
    <w:rsid w:val="5D197F10"/>
    <w:rsid w:val="5D4C63CD"/>
    <w:rsid w:val="5DD96A56"/>
    <w:rsid w:val="5E49509A"/>
    <w:rsid w:val="5E524957"/>
    <w:rsid w:val="5E5F1386"/>
    <w:rsid w:val="5E7E540A"/>
    <w:rsid w:val="5EB879E2"/>
    <w:rsid w:val="5EEE6509"/>
    <w:rsid w:val="5F141AAD"/>
    <w:rsid w:val="5F245B29"/>
    <w:rsid w:val="5F2777B7"/>
    <w:rsid w:val="5F443915"/>
    <w:rsid w:val="5F4B7BF5"/>
    <w:rsid w:val="5F895731"/>
    <w:rsid w:val="5FBE592A"/>
    <w:rsid w:val="5FC00EF4"/>
    <w:rsid w:val="5FC94C0E"/>
    <w:rsid w:val="5FDF7B6C"/>
    <w:rsid w:val="5FE121DC"/>
    <w:rsid w:val="5FEC0D78"/>
    <w:rsid w:val="5FF0679D"/>
    <w:rsid w:val="6061266D"/>
    <w:rsid w:val="60753D8E"/>
    <w:rsid w:val="60877D21"/>
    <w:rsid w:val="60A15D1A"/>
    <w:rsid w:val="60D7359A"/>
    <w:rsid w:val="60DA1337"/>
    <w:rsid w:val="61105FEA"/>
    <w:rsid w:val="61682096"/>
    <w:rsid w:val="616C160E"/>
    <w:rsid w:val="61785D82"/>
    <w:rsid w:val="61B433DF"/>
    <w:rsid w:val="61C61F52"/>
    <w:rsid w:val="61C671A7"/>
    <w:rsid w:val="61D32908"/>
    <w:rsid w:val="62251205"/>
    <w:rsid w:val="623314FA"/>
    <w:rsid w:val="62506491"/>
    <w:rsid w:val="62550D13"/>
    <w:rsid w:val="62AC30E7"/>
    <w:rsid w:val="62AF6920"/>
    <w:rsid w:val="62EF3D15"/>
    <w:rsid w:val="63014DE4"/>
    <w:rsid w:val="630631CC"/>
    <w:rsid w:val="631F73F8"/>
    <w:rsid w:val="63293A93"/>
    <w:rsid w:val="636C74B2"/>
    <w:rsid w:val="638C7334"/>
    <w:rsid w:val="63AA184B"/>
    <w:rsid w:val="63B019D5"/>
    <w:rsid w:val="63B01CDC"/>
    <w:rsid w:val="63D52BF3"/>
    <w:rsid w:val="63DC11D5"/>
    <w:rsid w:val="63ED148C"/>
    <w:rsid w:val="640B1881"/>
    <w:rsid w:val="64321BA1"/>
    <w:rsid w:val="644E42C5"/>
    <w:rsid w:val="64A96A7E"/>
    <w:rsid w:val="64C65853"/>
    <w:rsid w:val="64FD7FBD"/>
    <w:rsid w:val="656D7E25"/>
    <w:rsid w:val="65AC0ED3"/>
    <w:rsid w:val="65C82032"/>
    <w:rsid w:val="65CD3C26"/>
    <w:rsid w:val="66346610"/>
    <w:rsid w:val="667D257B"/>
    <w:rsid w:val="66892C17"/>
    <w:rsid w:val="66C91624"/>
    <w:rsid w:val="672A1BFE"/>
    <w:rsid w:val="676010DB"/>
    <w:rsid w:val="677117A1"/>
    <w:rsid w:val="67AE7987"/>
    <w:rsid w:val="67FE6FB6"/>
    <w:rsid w:val="68051788"/>
    <w:rsid w:val="682E3B15"/>
    <w:rsid w:val="68906A9D"/>
    <w:rsid w:val="68DA28AB"/>
    <w:rsid w:val="69032AD6"/>
    <w:rsid w:val="690A49A5"/>
    <w:rsid w:val="69345D8C"/>
    <w:rsid w:val="69551C02"/>
    <w:rsid w:val="695F089A"/>
    <w:rsid w:val="69AF4DA8"/>
    <w:rsid w:val="69C418BE"/>
    <w:rsid w:val="6A1C53F0"/>
    <w:rsid w:val="6A4D4319"/>
    <w:rsid w:val="6A7D0FBA"/>
    <w:rsid w:val="6AE541D3"/>
    <w:rsid w:val="6B086B50"/>
    <w:rsid w:val="6B10770E"/>
    <w:rsid w:val="6B3566A0"/>
    <w:rsid w:val="6B4C4F56"/>
    <w:rsid w:val="6B7269D3"/>
    <w:rsid w:val="6B7704EC"/>
    <w:rsid w:val="6B791FC6"/>
    <w:rsid w:val="6B8C345C"/>
    <w:rsid w:val="6B8D1E85"/>
    <w:rsid w:val="6B8D32F5"/>
    <w:rsid w:val="6BCC610A"/>
    <w:rsid w:val="6C2531D7"/>
    <w:rsid w:val="6C3613A7"/>
    <w:rsid w:val="6C4B48A7"/>
    <w:rsid w:val="6C5A4949"/>
    <w:rsid w:val="6C5A5ADB"/>
    <w:rsid w:val="6C6A58AA"/>
    <w:rsid w:val="6C7C7A72"/>
    <w:rsid w:val="6C7E0A79"/>
    <w:rsid w:val="6CA11B2B"/>
    <w:rsid w:val="6CB71BDD"/>
    <w:rsid w:val="6CD24857"/>
    <w:rsid w:val="6D003EFF"/>
    <w:rsid w:val="6D216BC8"/>
    <w:rsid w:val="6D2E5EC3"/>
    <w:rsid w:val="6D513F7A"/>
    <w:rsid w:val="6DC9172F"/>
    <w:rsid w:val="6E0074F7"/>
    <w:rsid w:val="6E105BC4"/>
    <w:rsid w:val="6F4D3E05"/>
    <w:rsid w:val="6F6C386B"/>
    <w:rsid w:val="6F7442E7"/>
    <w:rsid w:val="6F8410F5"/>
    <w:rsid w:val="6FA72991"/>
    <w:rsid w:val="6FC478A8"/>
    <w:rsid w:val="6FC84767"/>
    <w:rsid w:val="6FE84599"/>
    <w:rsid w:val="6FF6685E"/>
    <w:rsid w:val="70941EC8"/>
    <w:rsid w:val="70A2442F"/>
    <w:rsid w:val="70B50935"/>
    <w:rsid w:val="70E52CF3"/>
    <w:rsid w:val="70ED4D17"/>
    <w:rsid w:val="70F004C3"/>
    <w:rsid w:val="71070838"/>
    <w:rsid w:val="712629C6"/>
    <w:rsid w:val="71286948"/>
    <w:rsid w:val="71405084"/>
    <w:rsid w:val="71442537"/>
    <w:rsid w:val="717A20DE"/>
    <w:rsid w:val="718C5F59"/>
    <w:rsid w:val="72287FFB"/>
    <w:rsid w:val="726338A0"/>
    <w:rsid w:val="727855DC"/>
    <w:rsid w:val="72A36B3B"/>
    <w:rsid w:val="72A54DD3"/>
    <w:rsid w:val="72B1301E"/>
    <w:rsid w:val="72BD466A"/>
    <w:rsid w:val="73110ED4"/>
    <w:rsid w:val="7335135F"/>
    <w:rsid w:val="7337163F"/>
    <w:rsid w:val="73731579"/>
    <w:rsid w:val="737E74C7"/>
    <w:rsid w:val="738A55A5"/>
    <w:rsid w:val="739C38E9"/>
    <w:rsid w:val="73A37910"/>
    <w:rsid w:val="73E2493C"/>
    <w:rsid w:val="740529EB"/>
    <w:rsid w:val="742003BB"/>
    <w:rsid w:val="743C73A3"/>
    <w:rsid w:val="747D67A9"/>
    <w:rsid w:val="748B1650"/>
    <w:rsid w:val="74FF6D96"/>
    <w:rsid w:val="754323FA"/>
    <w:rsid w:val="75461F3E"/>
    <w:rsid w:val="755F5608"/>
    <w:rsid w:val="756223DD"/>
    <w:rsid w:val="758C381A"/>
    <w:rsid w:val="75A344E9"/>
    <w:rsid w:val="75D85A06"/>
    <w:rsid w:val="76142D18"/>
    <w:rsid w:val="763F2177"/>
    <w:rsid w:val="764671AE"/>
    <w:rsid w:val="764D68ED"/>
    <w:rsid w:val="76505750"/>
    <w:rsid w:val="76506B99"/>
    <w:rsid w:val="765A4CB0"/>
    <w:rsid w:val="76BE5918"/>
    <w:rsid w:val="76E545B0"/>
    <w:rsid w:val="774704F6"/>
    <w:rsid w:val="775A5D08"/>
    <w:rsid w:val="77C1081C"/>
    <w:rsid w:val="77D156B4"/>
    <w:rsid w:val="784B3310"/>
    <w:rsid w:val="784F44E0"/>
    <w:rsid w:val="78615C10"/>
    <w:rsid w:val="787B775F"/>
    <w:rsid w:val="787E717C"/>
    <w:rsid w:val="78CF004D"/>
    <w:rsid w:val="78D76BB3"/>
    <w:rsid w:val="793B6F6B"/>
    <w:rsid w:val="794E0B3C"/>
    <w:rsid w:val="797863ED"/>
    <w:rsid w:val="798D5672"/>
    <w:rsid w:val="79BC7B34"/>
    <w:rsid w:val="79CF1F1B"/>
    <w:rsid w:val="79D57218"/>
    <w:rsid w:val="79E94F4B"/>
    <w:rsid w:val="7A4248F7"/>
    <w:rsid w:val="7A775379"/>
    <w:rsid w:val="7AA47075"/>
    <w:rsid w:val="7AC458A7"/>
    <w:rsid w:val="7ACB6418"/>
    <w:rsid w:val="7B05517C"/>
    <w:rsid w:val="7B296B7A"/>
    <w:rsid w:val="7B5726CE"/>
    <w:rsid w:val="7B707158"/>
    <w:rsid w:val="7C087AAA"/>
    <w:rsid w:val="7D10405D"/>
    <w:rsid w:val="7D3437C5"/>
    <w:rsid w:val="7D710D6D"/>
    <w:rsid w:val="7D9F55FB"/>
    <w:rsid w:val="7DE8169A"/>
    <w:rsid w:val="7E102584"/>
    <w:rsid w:val="7E13717C"/>
    <w:rsid w:val="7E335628"/>
    <w:rsid w:val="7E516B9E"/>
    <w:rsid w:val="7E643AF5"/>
    <w:rsid w:val="7E7449AB"/>
    <w:rsid w:val="7EA1306B"/>
    <w:rsid w:val="7EAB4B1D"/>
    <w:rsid w:val="7EB76C48"/>
    <w:rsid w:val="7ED24D0D"/>
    <w:rsid w:val="7EDD181D"/>
    <w:rsid w:val="7EE65C68"/>
    <w:rsid w:val="7F12665F"/>
    <w:rsid w:val="7F192FEB"/>
    <w:rsid w:val="7F5C4031"/>
    <w:rsid w:val="7F741ADE"/>
    <w:rsid w:val="7FC924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endnote text"/>
    <w:basedOn w:val="1"/>
    <w:unhideWhenUsed/>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3">
    <w:name w:val="Body Text Indent 2"/>
    <w:basedOn w:val="1"/>
    <w:link w:val="16"/>
    <w:unhideWhenUsed/>
    <w:qFormat/>
    <w:uiPriority w:val="0"/>
    <w:pPr>
      <w:ind w:firstLine="588" w:firstLineChars="200"/>
    </w:pPr>
    <w:rPr>
      <w:rFonts w:ascii="仿宋_GB2312" w:hAnsi="Calibri" w:eastAsia="仿宋_GB2312" w:cs="Times New Roman"/>
      <w:sz w:val="32"/>
      <w:szCs w:val="24"/>
    </w:rPr>
  </w:style>
  <w:style w:type="paragraph" w:styleId="4">
    <w:name w:val="footer"/>
    <w:basedOn w:val="1"/>
    <w:link w:val="14"/>
    <w:unhideWhenUsed/>
    <w:qFormat/>
    <w:uiPriority w:val="0"/>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page number"/>
    <w:qFormat/>
    <w:uiPriority w:val="0"/>
  </w:style>
  <w:style w:type="character" w:styleId="10">
    <w:name w:val="FollowedHyperlink"/>
    <w:basedOn w:val="8"/>
    <w:semiHidden/>
    <w:unhideWhenUsed/>
    <w:qFormat/>
    <w:uiPriority w:val="99"/>
    <w:rPr>
      <w:color w:val="333333"/>
      <w:u w:val="none"/>
    </w:rPr>
  </w:style>
  <w:style w:type="character" w:styleId="11">
    <w:name w:val="Emphasis"/>
    <w:basedOn w:val="8"/>
    <w:qFormat/>
    <w:uiPriority w:val="20"/>
    <w:rPr>
      <w:i/>
    </w:rPr>
  </w:style>
  <w:style w:type="character" w:styleId="12">
    <w:name w:val="Hyperlink"/>
    <w:basedOn w:val="8"/>
    <w:unhideWhenUsed/>
    <w:qFormat/>
    <w:uiPriority w:val="99"/>
    <w:rPr>
      <w:color w:val="0000FF" w:themeColor="hyperlink"/>
      <w:u w:val="single"/>
      <w14:textFill>
        <w14:solidFill>
          <w14:schemeClr w14:val="hlink"/>
        </w14:solidFill>
      </w14:textFill>
    </w:rPr>
  </w:style>
  <w:style w:type="character" w:customStyle="1" w:styleId="13">
    <w:name w:val="页眉 Char"/>
    <w:basedOn w:val="8"/>
    <w:link w:val="5"/>
    <w:semiHidden/>
    <w:qFormat/>
    <w:uiPriority w:val="99"/>
    <w:rPr>
      <w:sz w:val="18"/>
      <w:szCs w:val="18"/>
    </w:rPr>
  </w:style>
  <w:style w:type="character" w:customStyle="1" w:styleId="14">
    <w:name w:val="页脚 Char"/>
    <w:basedOn w:val="8"/>
    <w:link w:val="4"/>
    <w:qFormat/>
    <w:uiPriority w:val="0"/>
    <w:rPr>
      <w:sz w:val="18"/>
      <w:szCs w:val="18"/>
    </w:rPr>
  </w:style>
  <w:style w:type="character" w:customStyle="1" w:styleId="15">
    <w:name w:val="标题 3 Char Char"/>
    <w:qFormat/>
    <w:uiPriority w:val="0"/>
    <w:rPr>
      <w:rFonts w:eastAsia="楷体_GB2312"/>
      <w:b/>
      <w:kern w:val="2"/>
      <w:sz w:val="32"/>
      <w:szCs w:val="24"/>
      <w:lang w:val="en-US" w:eastAsia="zh-CN" w:bidi="ar-SA"/>
    </w:rPr>
  </w:style>
  <w:style w:type="character" w:customStyle="1" w:styleId="16">
    <w:name w:val="正文文本缩进 2 Char"/>
    <w:basedOn w:val="8"/>
    <w:link w:val="3"/>
    <w:qFormat/>
    <w:uiPriority w:val="0"/>
    <w:rPr>
      <w:rFonts w:ascii="仿宋_GB2312" w:hAnsi="Calibri" w:eastAsia="仿宋_GB2312" w:cs="Times New Roman"/>
      <w:sz w:val="32"/>
      <w:szCs w:val="24"/>
    </w:rPr>
  </w:style>
  <w:style w:type="character" w:customStyle="1" w:styleId="17">
    <w:name w:val="bsharetext"/>
    <w:basedOn w:val="8"/>
    <w:qFormat/>
    <w:uiPriority w:val="0"/>
  </w:style>
  <w:style w:type="character" w:customStyle="1" w:styleId="18">
    <w:name w:val="wx-space"/>
    <w:basedOn w:val="8"/>
    <w:qFormat/>
    <w:uiPriority w:val="0"/>
  </w:style>
  <w:style w:type="character" w:customStyle="1" w:styleId="19">
    <w:name w:val="wx-space1"/>
    <w:basedOn w:val="8"/>
    <w:qFormat/>
    <w:uiPriority w:val="0"/>
  </w:style>
  <w:style w:type="character" w:customStyle="1" w:styleId="20">
    <w:name w:val="newsimg"/>
    <w:basedOn w:val="8"/>
    <w:qFormat/>
    <w:uiPriority w:val="0"/>
  </w:style>
  <w:style w:type="character" w:customStyle="1" w:styleId="21">
    <w:name w:val="time"/>
    <w:basedOn w:val="8"/>
    <w:qFormat/>
    <w:uiPriority w:val="0"/>
    <w:rPr>
      <w:color w:val="999999"/>
      <w:sz w:val="18"/>
      <w:szCs w:val="18"/>
    </w:rPr>
  </w:style>
  <w:style w:type="character" w:customStyle="1" w:styleId="22">
    <w:name w:val="time1"/>
    <w:basedOn w:val="8"/>
    <w:qFormat/>
    <w:uiPriority w:val="0"/>
    <w:rPr>
      <w:color w:val="333333"/>
      <w:bdr w:val="single" w:color="FFFFFF" w:sz="6" w:space="0"/>
    </w:rPr>
  </w:style>
  <w:style w:type="character" w:customStyle="1" w:styleId="23">
    <w:name w:val="hover26"/>
    <w:basedOn w:val="8"/>
    <w:qFormat/>
    <w:uiPriority w:val="0"/>
    <w:rPr>
      <w:color w:val="000000"/>
      <w:shd w:val="clear" w:color="auto" w:fill="FFFFFF"/>
    </w:rPr>
  </w:style>
  <w:style w:type="character" w:customStyle="1" w:styleId="24">
    <w:name w:val="NormalCharacter"/>
    <w:link w:val="1"/>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515E58-FABD-4B8B-8804-159218914FD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1084</Words>
  <Characters>6181</Characters>
  <Lines>51</Lines>
  <Paragraphs>14</Paragraphs>
  <TotalTime>25</TotalTime>
  <ScaleCrop>false</ScaleCrop>
  <LinksUpToDate>false</LinksUpToDate>
  <CharactersWithSpaces>7251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2020-07-30T08:03:00Z</dcterms:created>
  <dc:creator>PC</dc:creator>
  <cp:lastModifiedBy>肖志芳</cp:lastModifiedBy>
  <cp:lastPrinted>2021-07-02T09:08:00Z</cp:lastPrinted>
  <dcterms:modified xsi:type="dcterms:W3CDTF">2021-08-27T00:52:24Z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8E3CD2CEE8844E9F82729530DFE0D90F</vt:lpwstr>
  </property>
</Properties>
</file>