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2020</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湖南城陵矶新港区管理委员会港口管理部</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009</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报告日期：2021年 7月 8日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胡雅琴</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18773019117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贯彻执行区域内港口管理方面的政策法规，参与研究制定并组织实施关于港口管理、口岸发展的相关政策；负责对接上级有关部门，统筹协调区域内港口岸线资源及相关陆域的使用管理；负责区域内口岸平台资质申报、建设协调、运营管理工作；负责会同有关部门开展港口重大项目建设的前期工作；负责协调港口生产、经营秩序；负责推动港航物流产业的发展与招商工作；与市港口建设大会战指挥办公室合署办公，开展港口建设大会战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项目任务：一港一区四口岸奖补专项经费</w:t>
            </w:r>
            <w:r>
              <w:rPr>
                <w:rFonts w:hint="eastAsia" w:ascii="仿宋_GB2312" w:hAnsi="仿宋_GB2312" w:eastAsia="仿宋_GB2312" w:cs="仿宋_GB2312"/>
                <w:sz w:val="24"/>
              </w:rPr>
              <w:t>7</w:t>
            </w:r>
            <w:r>
              <w:rPr>
                <w:rFonts w:hint="eastAsia" w:ascii="仿宋_GB2312" w:hAnsi="仿宋_GB2312" w:eastAsia="仿宋_GB2312" w:cs="仿宋_GB2312"/>
                <w:color w:val="000000"/>
                <w:sz w:val="24"/>
              </w:rPr>
              <w:t>万元，，用于支付信息技术、监管数据服务，致力于促进岳阳城陵矶综合保税区、启运港退税政策试点港、汽车整车进口口岸、进口肉类指定口岸、进口粮食指定口岸和固废进口指定口岸建设发展。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任务1：码头岸线整治，年内使用经费9万元，用于统筹协调区域内港口岸线资源及相关陆域的使用管理；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任务2：口岸发展及航线拓展，年内使用经费24万元，用于促进货运总量\集装箱比上年有所增加；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任务3：港口建设大会战指挥部办公室工作，年内使用经费5万元，用于改善新港区港口物流投资环境。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任务4：芭蕉湖河长办工作，年内使用经费5万元，用于芭蕉湖管护治理，日常打捞清理，改善芭蕉湖环境，为湖净身。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1、防疫联点工作扎实，所有码头企业正常运营。</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2、全力参与口岸博览会筹备工作。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3、全面完成岸线整治复绿与绿化提质工作。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4、全力推动城陵矶港做大做强。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5、稳步推进码头提质改造。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6、参与编制“十四五”物流业发展规划与岳阳港口型国家物流枢纽建设方案。</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7、精心组织2019年下半年与2020年上半年“一区一港四口岸”奖补的申报、审核工作，健全航线体系。</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8、明确并推进九项服务费用由市区两级政府购买。</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9、稳步推进集装箱铁水联运发展。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10、积极推进烟花通道建设。</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11、加速现代物流业的发展。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12、综合治理芭蕉湖。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153.6</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153.6</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153.6</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153.6</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137.78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92.16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81.53</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10.63</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45.62</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15.82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137.78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92.16</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81.53</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10.63</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45.62</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15.82</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1、引进1-2家物流企业，推动创建4A级以上物流企业；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2、完成10次督查码头提质改造工作；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3、将城陵矶至上海洋山航线增至每周4班以上；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4、开展港口岸线复绿工作专项督查6次以上；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5、完成2019年下半年和2020年上半年“一区一港四口岸” 奖励资金的申报资料的初审。</w:t>
            </w: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1、引进了2家物流企业，推动创建1家4A级1家5A级物流企业；</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2、完成10次督查码头提质改造工作；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3、城陵矶至上海洋山航线增至每周4班以上；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4、开展港口岸线复绿工作专项督查6次以上；</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5、完成2019年下半年和2020年上半年“一区一港四口岸” 奖励资金的申报资料的初审。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1、引进物流企业在新港区注册公司</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2、完成码头提质改造的企业达到质量合格要求；</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3、对2019年下半年和2020年上半年“一区一港四口岸”奖补资金发放；</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1、引进1-2家物流企业，推动创建4A级以上物流企业；</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引进了2家物流企业，推动创建1家4A级一家5A级物流企业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2、完成10次督查码头提质改造工作；</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3、将城陵矶至上海洋山航线增至每周4班以上；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4、开展港口岸线复绿工作专项督查6次以上；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5、完成2019年下半年和2020年上半年“一区一港四口岸” 奖励资金的申报资料的初审；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1、2020年内前完成引进1-2家物流企业；</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2020年内引进了2家物流企业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2、将城陵矶至上海洋山航线增至每周4班以上；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3、2020年内与广铁集团、省港务集团合作运营城陵矶港铁路无轨站；</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4、年内发放2019年下半年“一区一港四口岸”奖补资金；初审2020年上半年 “一区一港四口岸”奖补资金</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2019年下半年“一区一港四口岸”奖补资金港航版块为2182万元；2020年上半年初审“一区一港四口岸”奖补资金港航版块为1409万元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完成全部财政预算安排资金支出目标，不超范围、超预算支出</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拓展优化了航线资源，实现“水水中转”战略，吸引了货源转运，实现城陵矶港集装箱吞吐量继续领先宜昌等同类港口，推动经济发展</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1、做大物流产值，实现降本增效；</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2、提升港口码头的作业效率与环保标准</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防止破坏复绿岸线的行为发生，确保长江岸线的复绿效果，完善芭蕉湖管护治理</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服务对象满意率高于95%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李艳超</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港口管理部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胡雅琴</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港口管理部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napToGrid w:val="0"/>
              <w:spacing w:line="600" w:lineRule="exact"/>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napToGrid w:val="0"/>
              <w:spacing w:line="60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港口管理部基本情况人员共7人，其中在编人员4人，下设口岸发展科和物流促进科。主要职能：负责贯彻执行区域内港口管理方面的政策法规，参与研究制定并组织实施关于港口管理、口岸发展的相关政策；负责对接上级有关部门，统筹协调区域内港口岸线资源及相关陆域的使用管理；负责区域内口岸平台资质申报、建设协调、运营管理工作；负责会同有关部门开展港口重大项目建设的前期工作；负责协调港口生产、经营秩序；负责推动港航物流产业的发展与招商工作；与市港口建设大会战指挥办公室合署办公，开展港口建设大会战相关工作。年度工作任务：1、贯彻执行区域内港口管理方面的政策法规，参与研究制定并组织实施关于港口管理、口岸发展的相关政策。2、统筹协调区域内港口岸线资源及相关陆域的使用管理。3、维护我区港口生产、经营秩序；4、推动完成码头岸线整治、岸线复绿、码头提质改造工作；5、完成港口建设大会战相关工作任务。</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部门支出规模137.78万元，包括一区一港四口岸奖补专项资金7万元，基本支出资金92.16万元，其中81.53万元是人员支出费用，10.63万元是公用支出费用。</w:t>
            </w:r>
          </w:p>
          <w:p>
            <w:pPr>
              <w:snapToGrid w:val="0"/>
              <w:spacing w:line="60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部门基本支出资金92.16万元，其中一般公共服务支出81.32万元，社会保障和就业支出0.26万元，卫生健康支出3.42万元，交通运输支出2.22万元，住房保障支4.94万元。三公经费使用6.1万元</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用于支付信息技术、监管数据服务，为 “一区一港四口岸”奖补政策的发放提供更为科学，更为准确的评判依据。资金落实效果明显，有效核实了数据分歧等情况，为奖补真是准确发放保驾护航。</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专项资金实际使用情况与预算情况一致，且发挥了专项资金效益。</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已制定或具有预算资金管理办法，内部财务管理制度、会计核算制度等管理制度；相关管理制度合法、合规、完整；相关管理制度得到有效执行。</w:t>
            </w:r>
          </w:p>
          <w:p>
            <w:pPr>
              <w:snapToGrid w:val="0"/>
              <w:spacing w:line="60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snapToGrid w:val="0"/>
              <w:spacing w:line="600" w:lineRule="exact"/>
              <w:ind w:firstLine="554"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（一）经济性分析</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安排了专人对编写了基础数据信息和会计信息资料，确保了资料真实、完整、准确，使用环节严格按照成本（预算）控制制度进行，资金拨付有完整的审批程序和手续；项目支出按规定经过评估论证；确保了资金充分合理使用，基本保持支出与预算一致。</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 效率性分析</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时按质量完成了各项工作：引进了2家物流企业，推动创建一家4A级、一家5A级物流企业；完成10次督查码头提质改造工作；将城陵矶至上海洋山航线增至每周4班以上；开展港口岸线复绿工作专项督查6次；完成2019年下半年和2020年上半年“一区一港四口岸” 奖励资金的申报资料的初审；引进物流企业在新港区注册公司；完成码头提质改造的企业达到质量合格要求；对2019年下半年和2020年上半年“一区一港四口岸”奖补资金发放到位</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（三）有效性分析</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各项工作达到的成效：做大物流产值，实现降本增效；提升港口码头的作业效率与环保标准；拓展优化了航线资源，实现“水水中转”战略，吸引了货源转运，实现城陵矶港集装箱吞吐量继续领先宜昌等同类港口，推动经济发展；防止破坏复绿岸线的行为发生，确保了长江岸线的复绿效果，完善芭蕉湖管护治理。</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（四）可持续性</w:t>
            </w:r>
          </w:p>
          <w:p>
            <w:pPr>
              <w:adjustRightInd w:val="0"/>
              <w:snapToGrid w:val="0"/>
              <w:spacing w:line="600" w:lineRule="exact"/>
              <w:ind w:firstLine="554" w:firstLineChars="200"/>
              <w:rPr>
                <w:rFonts w:ascii="Calibri" w:hAnsi="Calibri" w:eastAsia="仿宋_GB2312" w:cs="Times New Roman"/>
                <w:bCs/>
                <w:sz w:val="28"/>
                <w:szCs w:val="28"/>
              </w:rPr>
            </w:pPr>
            <w:r>
              <w:rPr>
                <w:rFonts w:hint="eastAsia" w:ascii="Calibri" w:hAnsi="Calibri" w:eastAsia="仿宋_GB2312" w:cs="Times New Roman"/>
                <w:bCs/>
                <w:sz w:val="28"/>
                <w:szCs w:val="28"/>
              </w:rPr>
              <w:t>继续进行所有码头企业防疫联点工作；继续全力引导省内货物从城陵矶港通行；继续全力参与口岸博览会筹备工作；继续积极争取省级财政专项资金支持；继续精心组织港航奖补资料审核工作；继续着力推动物流产业的发展，稳步推进集装箱铁水联运发展；将继续对芭蕉湖进行持续有效管护。</w:t>
            </w:r>
          </w:p>
          <w:p>
            <w:pPr>
              <w:adjustRightInd w:val="0"/>
              <w:snapToGrid w:val="0"/>
              <w:spacing w:line="620" w:lineRule="exact"/>
              <w:ind w:firstLine="554"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预算绩效评价指标体系有待完善。因对项目支出规律研究不深，校内部分项目考核指标细化和量化不够，投入产出经济性、效益性、满意度考核指标不够明确、不够完善。</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会计制度功能科目和经济科目的要求科学分解财政预算，达到预算指标和绩效指标高度一致，以进一步提高整体支出绩效目标。完善项目绩效管理办法，落实项目绩效管理责任，严格项目管控过程，加快项目推进进度，建立自评与他评相结合的评价机制，提高绩效考核结果对预算编制的指挥作用。</w:t>
            </w:r>
          </w:p>
          <w:p>
            <w:pPr>
              <w:rPr>
                <w:rFonts w:eastAsia="楷体_GB2312"/>
                <w:bCs/>
                <w:sz w:val="28"/>
                <w:szCs w:val="28"/>
              </w:rPr>
            </w:pPr>
          </w:p>
        </w:tc>
      </w:tr>
    </w:tbl>
    <w:p>
      <w:pPr>
        <w:adjustRightInd w:val="0"/>
        <w:snapToGrid w:val="0"/>
        <w:spacing w:line="640" w:lineRule="exact"/>
        <w:contextualSpacing/>
        <w:rPr>
          <w:sz w:val="28"/>
          <w:szCs w:val="28"/>
        </w:rPr>
      </w:pPr>
    </w:p>
    <w:p>
      <w:pPr>
        <w:rPr>
          <w:rFonts w:ascii="黑体" w:hAnsi="黑体" w:eastAsia="黑体"/>
          <w:sz w:val="32"/>
          <w:szCs w:val="32"/>
        </w:rPr>
      </w:pPr>
      <w:r>
        <w:rPr>
          <w:rFonts w:hint="eastAsia" w:ascii="黑体" w:hAnsi="黑体" w:eastAsia="黑体"/>
          <w:sz w:val="32"/>
          <w:szCs w:val="32"/>
        </w:rPr>
        <w:t>附件3-1</w:t>
      </w:r>
    </w:p>
    <w:p>
      <w:pPr>
        <w:spacing w:beforeLines="50" w:afterLines="5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三公经费变动率超过2.5个百分点</w:t>
            </w: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有结余但不超过上年结转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6"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97.5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sz w:val="28"/>
          <w:szCs w:val="28"/>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bookmarkStart w:id="0" w:name="_GoBack"/>
      <w:bookmarkEnd w:id="0"/>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21AC"/>
    <w:rsid w:val="00005DF5"/>
    <w:rsid w:val="00026EDF"/>
    <w:rsid w:val="000907A7"/>
    <w:rsid w:val="000B0FF1"/>
    <w:rsid w:val="000B10DA"/>
    <w:rsid w:val="000D2C50"/>
    <w:rsid w:val="000D35DF"/>
    <w:rsid w:val="000D6385"/>
    <w:rsid w:val="000E0C52"/>
    <w:rsid w:val="000E44B2"/>
    <w:rsid w:val="000F2261"/>
    <w:rsid w:val="00123CDD"/>
    <w:rsid w:val="001274A6"/>
    <w:rsid w:val="001477FB"/>
    <w:rsid w:val="001A6003"/>
    <w:rsid w:val="001B302C"/>
    <w:rsid w:val="001C0EC9"/>
    <w:rsid w:val="001D0882"/>
    <w:rsid w:val="001D59FA"/>
    <w:rsid w:val="001E757A"/>
    <w:rsid w:val="001F769E"/>
    <w:rsid w:val="00212E5E"/>
    <w:rsid w:val="002138FD"/>
    <w:rsid w:val="002228C6"/>
    <w:rsid w:val="002319A0"/>
    <w:rsid w:val="00235574"/>
    <w:rsid w:val="00241C05"/>
    <w:rsid w:val="0027202E"/>
    <w:rsid w:val="002908F0"/>
    <w:rsid w:val="00296444"/>
    <w:rsid w:val="002C66A9"/>
    <w:rsid w:val="002F390D"/>
    <w:rsid w:val="00364C90"/>
    <w:rsid w:val="003B56A9"/>
    <w:rsid w:val="003C08FC"/>
    <w:rsid w:val="003D0A51"/>
    <w:rsid w:val="003F6FBE"/>
    <w:rsid w:val="00497775"/>
    <w:rsid w:val="004A175A"/>
    <w:rsid w:val="004D0428"/>
    <w:rsid w:val="004E4D39"/>
    <w:rsid w:val="004F495A"/>
    <w:rsid w:val="00532371"/>
    <w:rsid w:val="00557CE8"/>
    <w:rsid w:val="00564E7D"/>
    <w:rsid w:val="005725E6"/>
    <w:rsid w:val="00582461"/>
    <w:rsid w:val="005901A2"/>
    <w:rsid w:val="00595358"/>
    <w:rsid w:val="005961D8"/>
    <w:rsid w:val="005A5CEA"/>
    <w:rsid w:val="005E3855"/>
    <w:rsid w:val="00604AE8"/>
    <w:rsid w:val="006314FC"/>
    <w:rsid w:val="0066251B"/>
    <w:rsid w:val="0067543D"/>
    <w:rsid w:val="00682829"/>
    <w:rsid w:val="006B3234"/>
    <w:rsid w:val="006C4524"/>
    <w:rsid w:val="006D4AE7"/>
    <w:rsid w:val="006F18C5"/>
    <w:rsid w:val="00700961"/>
    <w:rsid w:val="00701987"/>
    <w:rsid w:val="00705C85"/>
    <w:rsid w:val="00736EFE"/>
    <w:rsid w:val="007556ED"/>
    <w:rsid w:val="00773BC9"/>
    <w:rsid w:val="007928AF"/>
    <w:rsid w:val="007F5B50"/>
    <w:rsid w:val="008301BD"/>
    <w:rsid w:val="00850933"/>
    <w:rsid w:val="008613DB"/>
    <w:rsid w:val="00865A6E"/>
    <w:rsid w:val="008671CE"/>
    <w:rsid w:val="008766B7"/>
    <w:rsid w:val="00893926"/>
    <w:rsid w:val="008D21D3"/>
    <w:rsid w:val="008F291E"/>
    <w:rsid w:val="008F7209"/>
    <w:rsid w:val="00902843"/>
    <w:rsid w:val="00904DA1"/>
    <w:rsid w:val="00912927"/>
    <w:rsid w:val="00914A31"/>
    <w:rsid w:val="00942A92"/>
    <w:rsid w:val="009565A1"/>
    <w:rsid w:val="009A306D"/>
    <w:rsid w:val="009A4CFD"/>
    <w:rsid w:val="009A6E11"/>
    <w:rsid w:val="009C67E8"/>
    <w:rsid w:val="00A33916"/>
    <w:rsid w:val="00AA16BE"/>
    <w:rsid w:val="00AD105F"/>
    <w:rsid w:val="00AD574C"/>
    <w:rsid w:val="00B11429"/>
    <w:rsid w:val="00B32B1E"/>
    <w:rsid w:val="00B735BC"/>
    <w:rsid w:val="00BC7F9A"/>
    <w:rsid w:val="00BF3858"/>
    <w:rsid w:val="00C111C8"/>
    <w:rsid w:val="00C473A5"/>
    <w:rsid w:val="00CE01AF"/>
    <w:rsid w:val="00CE7209"/>
    <w:rsid w:val="00CF3652"/>
    <w:rsid w:val="00D41F2D"/>
    <w:rsid w:val="00D607D5"/>
    <w:rsid w:val="00D7081E"/>
    <w:rsid w:val="00DB2C5A"/>
    <w:rsid w:val="00DC0295"/>
    <w:rsid w:val="00DC5AFB"/>
    <w:rsid w:val="00DF1BBB"/>
    <w:rsid w:val="00E12CB1"/>
    <w:rsid w:val="00E513F8"/>
    <w:rsid w:val="00E60FCA"/>
    <w:rsid w:val="00E738EF"/>
    <w:rsid w:val="00E96229"/>
    <w:rsid w:val="00EA1E6B"/>
    <w:rsid w:val="00EB2748"/>
    <w:rsid w:val="00EF1A49"/>
    <w:rsid w:val="00EF66C4"/>
    <w:rsid w:val="00F036A9"/>
    <w:rsid w:val="00F521AC"/>
    <w:rsid w:val="00F658BA"/>
    <w:rsid w:val="00F74B28"/>
    <w:rsid w:val="00F86472"/>
    <w:rsid w:val="00FB2805"/>
    <w:rsid w:val="21DE1912"/>
    <w:rsid w:val="2A6D1036"/>
    <w:rsid w:val="30DF318F"/>
    <w:rsid w:val="3C12626D"/>
    <w:rsid w:val="46EF7542"/>
    <w:rsid w:val="6AD16123"/>
    <w:rsid w:val="79BA34E7"/>
    <w:rsid w:val="7A232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798</Words>
  <Characters>4554</Characters>
  <Lines>37</Lines>
  <Paragraphs>10</Paragraphs>
  <TotalTime>0</TotalTime>
  <ScaleCrop>false</ScaleCrop>
  <LinksUpToDate>false</LinksUpToDate>
  <CharactersWithSpaces>5342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2021-07-08T07:21:00Z</dcterms:created>
  <dc:creator>lenvov</dc:creator>
  <cp:lastModifiedBy>肖志芳</cp:lastModifiedBy>
  <cp:lastPrinted>2021-07-21T07:06:00Z</cp:lastPrinted>
  <dcterms:modified xsi:type="dcterms:W3CDTF">2021-08-02T04:04:34Z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7A39C0F03D08436D96AAC10E373ABD04</vt:lpwstr>
  </property>
</Properties>
</file>