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eastAsia="方正小标宋简体"/>
          <w:bCs/>
          <w:sz w:val="46"/>
          <w:szCs w:val="46"/>
        </w:rPr>
      </w:pPr>
    </w:p>
    <w:p>
      <w:pPr>
        <w:spacing w:line="800" w:lineRule="exact"/>
        <w:jc w:val="both"/>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湖南城陵矶新港区20</w:t>
      </w:r>
      <w:r>
        <w:rPr>
          <w:rFonts w:hint="eastAsia" w:eastAsia="方正小标宋简体"/>
          <w:bCs/>
          <w:sz w:val="46"/>
          <w:szCs w:val="46"/>
          <w:lang w:val="en-US" w:eastAsia="zh-CN"/>
        </w:rPr>
        <w:t>20</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640" w:firstLineChars="200"/>
        <w:rPr>
          <w:rFonts w:eastAsia="仿宋_GB2312"/>
          <w:sz w:val="32"/>
          <w:szCs w:val="32"/>
          <w:u w:val="single"/>
        </w:rPr>
      </w:pPr>
      <w:r>
        <w:rPr>
          <w:rFonts w:hint="eastAsia" w:eastAsia="仿宋_GB2312"/>
          <w:sz w:val="32"/>
          <w:szCs w:val="32"/>
        </w:rPr>
        <w:t>部门名称：</w:t>
      </w:r>
      <w:r>
        <w:rPr>
          <w:rFonts w:hint="eastAsia" w:eastAsia="仿宋_GB2312"/>
          <w:w w:val="90"/>
          <w:sz w:val="32"/>
          <w:szCs w:val="32"/>
          <w:u w:val="single"/>
        </w:rPr>
        <w:t xml:space="preserve">湖南城陵矶临港产业新区土地储备开发中心 </w:t>
      </w:r>
      <w:r>
        <w:rPr>
          <w:rFonts w:hint="eastAsia" w:eastAsia="仿宋_GB2312"/>
          <w:sz w:val="32"/>
          <w:szCs w:val="32"/>
          <w:u w:val="single"/>
        </w:rPr>
        <w:t xml:space="preserve">     </w:t>
      </w:r>
    </w:p>
    <w:p>
      <w:pPr>
        <w:spacing w:beforeLines="50" w:line="348" w:lineRule="auto"/>
        <w:ind w:firstLine="640" w:firstLineChars="200"/>
        <w:rPr>
          <w:rFonts w:eastAsia="仿宋_GB2312"/>
          <w:spacing w:val="20"/>
          <w:sz w:val="32"/>
          <w:szCs w:val="32"/>
        </w:rPr>
      </w:pPr>
      <w:r>
        <w:rPr>
          <w:rFonts w:hint="eastAsia" w:eastAsia="仿宋_GB2312"/>
          <w:sz w:val="32"/>
          <w:szCs w:val="32"/>
        </w:rPr>
        <w:t>预算编码</w:t>
      </w:r>
      <w:r>
        <w:rPr>
          <w:rFonts w:hint="eastAsia" w:eastAsia="仿宋_GB2312"/>
          <w:spacing w:val="30"/>
          <w:sz w:val="32"/>
          <w:szCs w:val="32"/>
        </w:rPr>
        <w:t>：</w:t>
      </w:r>
      <w:r>
        <w:rPr>
          <w:rFonts w:hint="eastAsia" w:eastAsia="仿宋_GB2312"/>
          <w:spacing w:val="20"/>
          <w:sz w:val="32"/>
          <w:szCs w:val="32"/>
          <w:u w:val="single"/>
        </w:rPr>
        <w:t xml:space="preserve">014001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p>
    <w:p>
      <w:pPr>
        <w:spacing w:beforeLines="50" w:line="348" w:lineRule="auto"/>
        <w:ind w:firstLine="640" w:firstLineChars="200"/>
        <w:rPr>
          <w:rFonts w:eastAsia="仿宋_GB2312"/>
          <w:sz w:val="32"/>
          <w:szCs w:val="32"/>
        </w:rPr>
      </w:pPr>
      <w:r>
        <w:rPr>
          <w:rFonts w:hint="eastAsia" w:eastAsia="仿宋_GB2312"/>
          <w:sz w:val="32"/>
          <w:szCs w:val="32"/>
        </w:rPr>
        <w:t>评价方式：部门（单位）绩效自评</w:t>
      </w:r>
    </w:p>
    <w:p>
      <w:pPr>
        <w:spacing w:beforeLines="50" w:line="348" w:lineRule="auto"/>
        <w:ind w:firstLine="640" w:firstLineChars="200"/>
        <w:rPr>
          <w:rFonts w:eastAsia="仿宋_GB2312"/>
          <w:sz w:val="32"/>
          <w:szCs w:val="32"/>
        </w:rPr>
      </w:pPr>
      <w:r>
        <w:rPr>
          <w:rFonts w:hint="eastAsia" w:eastAsia="仿宋_GB2312"/>
          <w:sz w:val="32"/>
          <w:szCs w:val="32"/>
        </w:rPr>
        <w:t xml:space="preserve">评价机构：部门（单位）评价组   </w:t>
      </w: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 202</w:t>
      </w:r>
      <w:r>
        <w:rPr>
          <w:rFonts w:hint="eastAsia" w:eastAsia="仿宋_GB2312"/>
          <w:sz w:val="32"/>
          <w:lang w:val="en-US" w:eastAsia="zh-CN"/>
        </w:rPr>
        <w:t>1</w:t>
      </w:r>
      <w:r>
        <w:rPr>
          <w:rFonts w:hint="eastAsia" w:eastAsia="仿宋_GB2312"/>
          <w:sz w:val="32"/>
        </w:rPr>
        <w:t>年</w:t>
      </w:r>
      <w:r>
        <w:rPr>
          <w:rFonts w:hint="eastAsia" w:eastAsia="仿宋_GB2312"/>
          <w:sz w:val="32"/>
          <w:lang w:val="en-US" w:eastAsia="zh-CN"/>
        </w:rPr>
        <w:t>7</w:t>
      </w:r>
      <w:r>
        <w:rPr>
          <w:rFonts w:hint="eastAsia" w:eastAsia="仿宋_GB2312"/>
          <w:sz w:val="32"/>
        </w:rPr>
        <w:t xml:space="preserve">月 </w:t>
      </w:r>
      <w:r>
        <w:rPr>
          <w:rFonts w:hint="eastAsia" w:eastAsia="仿宋_GB2312"/>
          <w:sz w:val="32"/>
          <w:lang w:val="en-US" w:eastAsia="zh-CN"/>
        </w:rPr>
        <w:t>2</w:t>
      </w:r>
      <w:r>
        <w:rPr>
          <w:rFonts w:hint="eastAsia" w:eastAsia="仿宋_GB2312"/>
          <w:sz w:val="32"/>
        </w:rPr>
        <w:t>8日</w:t>
      </w:r>
    </w:p>
    <w:p>
      <w:pPr>
        <w:spacing w:line="348" w:lineRule="auto"/>
        <w:jc w:val="center"/>
        <w:rPr>
          <w:rFonts w:eastAsia="仿宋_GB2312"/>
          <w:sz w:val="32"/>
        </w:rPr>
      </w:pPr>
    </w:p>
    <w:tbl>
      <w:tblPr>
        <w:tblStyle w:val="6"/>
        <w:tblW w:w="96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59"/>
        <w:gridCol w:w="1080"/>
        <w:gridCol w:w="210"/>
        <w:gridCol w:w="1145"/>
        <w:gridCol w:w="272"/>
        <w:gridCol w:w="674"/>
        <w:gridCol w:w="1839"/>
        <w:gridCol w:w="64"/>
        <w:gridCol w:w="284"/>
        <w:gridCol w:w="789"/>
        <w:gridCol w:w="663"/>
        <w:gridCol w:w="139"/>
        <w:gridCol w:w="49"/>
        <w:gridCol w:w="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78"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w:t>
            </w:r>
          </w:p>
        </w:tc>
        <w:tc>
          <w:tcPr>
            <w:tcW w:w="2091"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何四海</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联络电话</w:t>
            </w: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13607306543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人员编制</w:t>
            </w:r>
          </w:p>
        </w:tc>
        <w:tc>
          <w:tcPr>
            <w:tcW w:w="2091"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3人</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实有人数</w:t>
            </w: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4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职能职责概述</w:t>
            </w:r>
          </w:p>
        </w:tc>
        <w:tc>
          <w:tcPr>
            <w:tcW w:w="6688" w:type="dxa"/>
            <w:gridSpan w:val="11"/>
            <w:vAlign w:val="center"/>
          </w:tcPr>
          <w:p>
            <w:pPr>
              <w:autoSpaceDN w:val="0"/>
              <w:spacing w:line="320" w:lineRule="exact"/>
              <w:ind w:firstLine="360" w:firstLineChars="15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负责编制湖南城陵矶新港区规划范围内中长期土地储备规划和年度计划；负责辖区内土地收购、报批、储备和土地出让的前期工作；负责储备土地的管护、临时利用和前期开发；负责土地储备资金管理等工作。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95"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年度主要</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工作内容</w:t>
            </w:r>
          </w:p>
        </w:tc>
        <w:tc>
          <w:tcPr>
            <w:tcW w:w="6688" w:type="dxa"/>
            <w:gridSpan w:val="11"/>
            <w:vAlign w:val="center"/>
          </w:tcPr>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b/>
                <w:bCs/>
                <w:color w:val="000000"/>
                <w:sz w:val="24"/>
                <w:szCs w:val="24"/>
              </w:rPr>
              <w:t>党的建设情况</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1、成立党的基层组织，提升党员凝集力。今年3月，经党工委批准，我中心成立了支部委员会，选举产生了支部委员会。既加强了党对业务工作的领导，同时也提升了中心党员的凝聚力。</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开展党建主题活动，增强党员使命感。今年5月，支部组织了全体党员及入党积极分子前往全国爱国主义教育基地-韶山、宁乡等地开展了“不忘初心，牢记使命”党建主题活动，通过此次活动让支部党员再次坚定了自身理想信念，增强了党员使命感。</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抓好三会一课制度，提升支部战斗力。今年，支部分别召开9次支部委员会、3次党员大会、1次党课。迅速传达和学习了各项重要会议精神，学习的精神内容有：习近平总书记关于新冠肺炎疫情防控工作相关会议的讲话精神以及省委、市委有关疫情防控部署；常务副省长谢建辉同志《3月21日在城陵矶新港区调研座谈会上的讲话》、学习了《4月1日市委常委会议精神》、市委书记王一鸥同志《5月20日在城陵矶新港区调研时的讲话》、关于认真组织开展学习《湖南省加快产业园区市场化建设运营若干政策》、学习《中共湖南省委关于深入学习贯彻习近平总书记考察湖南重要讲话精神，奋力谱写新时代坚持和发展中国特色社会主义湖南新篇章的决定》。</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二、</w:t>
            </w:r>
            <w:r>
              <w:rPr>
                <w:rFonts w:hint="eastAsia" w:ascii="仿宋_GB2312" w:hAnsi="仿宋_GB2312" w:eastAsia="仿宋_GB2312" w:cs="仿宋_GB2312"/>
                <w:b/>
                <w:bCs/>
                <w:color w:val="000000"/>
                <w:sz w:val="24"/>
                <w:szCs w:val="24"/>
              </w:rPr>
              <w:t>资金筹措与运用情况</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1、通过向上积极争取，上半年从岳阳市城投集团公司争取到非港区规划范围内的用地报批主体资格，争取到了土地报批资金1亿元，为土地报批提供了一定的资金保障。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2、为了保障土地收储项目顺利推进，今年土地储备中心累计支付各类征拆、报批、土地开发等资金13.17亿元,强力推进土地征拆与报批工作。</w:t>
            </w:r>
          </w:p>
          <w:p>
            <w:pPr>
              <w:autoSpaceDN w:val="0"/>
              <w:spacing w:line="320" w:lineRule="exact"/>
              <w:ind w:firstLine="480" w:firstLineChars="200"/>
              <w:jc w:val="left"/>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lang w:eastAsia="zh-CN"/>
              </w:rPr>
              <w:t>三、</w:t>
            </w:r>
            <w:r>
              <w:rPr>
                <w:rFonts w:hint="eastAsia" w:ascii="仿宋_GB2312" w:hAnsi="仿宋_GB2312" w:eastAsia="仿宋_GB2312" w:cs="仿宋_GB2312"/>
                <w:b/>
                <w:bCs/>
                <w:color w:val="000000"/>
                <w:sz w:val="24"/>
                <w:szCs w:val="24"/>
              </w:rPr>
              <w:t>建设用地报批情况</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1、咬紧年度目标，超额完成任务  今年由于新的土地管理法、以及新的空间用途管制的实施，明确征拆工作与用地报批工作同步上报审批，出现重大行政审批制度变革，用地报批工作量增加了一倍。我中心坚持以“确保2000亩、力争3000亩用地报批”为工作目标，截止12月31日，累计已完成省厅审批17个批次，合计3,760亩，占全年目标任务188%，已超额完成年度目标。</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2、加强联动，争当排头兵  截止12月31日，累计已完成市城投集团岳阳临港创新产业园项目7个批次组卷进入省厅审批，合计1,620亩。目前，全市共完成用地报批7,250亩，全省完成50,430亩，我区占比全市52%，全市排名第一。</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3、利用政策红利、努力降低报批成本  通过向省厅积极对接，我区全年用地报批全部使用省厅新增建设用地年度计划，购买耕地占补平衡指标采用“最低等级耕地+粮食产能+省厅最低限价+分期付款”方式，土地报批成本是近年来最低的。</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四、</w:t>
            </w:r>
            <w:r>
              <w:rPr>
                <w:rFonts w:hint="eastAsia" w:ascii="仿宋_GB2312" w:hAnsi="仿宋_GB2312" w:eastAsia="仿宋_GB2312" w:cs="仿宋_GB2312"/>
                <w:b/>
                <w:bCs/>
                <w:color w:val="000000"/>
                <w:sz w:val="24"/>
                <w:szCs w:val="24"/>
              </w:rPr>
              <w:t>国有土地收储情况</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1、基本完成阶段  为配合北环线建设，岳阳港建设，恒大项目、攀华项目落地，闲置用地处理等要求，对33个项目展开收储工作，其中华能二灰湖、恒泰雅园涉北环线地块、港建投八块闲置用地、原边检大楼等13个项目已全部完成.</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2、已签订协议阶段  海吉星北区、西区部分土地收储协议已签订，双方正在处理后续国土证分割事宜；金叶众望、宏岳科技、九鼎、税务局收储工作均已进入收尾阶段，对其地上附着物正在进行拆除，为后续净地挂牌扫清障碍。其中金叶众望、宏岳科技资产已完成拍卖，九鼎资产正在按流程进行第四轮拍卖，有效防范了工作风险，避免了国有资产流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1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年度部门（单位）总体运行情况及取得的成绩</w:t>
            </w:r>
          </w:p>
        </w:tc>
        <w:tc>
          <w:tcPr>
            <w:tcW w:w="6688" w:type="dxa"/>
            <w:gridSpan w:val="11"/>
            <w:vAlign w:val="center"/>
          </w:tcPr>
          <w:p>
            <w:pPr>
              <w:pStyle w:val="14"/>
              <w:numPr>
                <w:ilvl w:val="0"/>
                <w:numId w:val="0"/>
              </w:numPr>
              <w:ind w:firstLine="456" w:firstLineChars="200"/>
              <w:rPr>
                <w:rFonts w:ascii="仿宋_GB2312" w:hAnsi="宋体" w:eastAsia="仿宋_GB2312" w:cs="宋体"/>
                <w:spacing w:val="-6"/>
                <w:sz w:val="24"/>
                <w:szCs w:val="24"/>
              </w:rPr>
            </w:pPr>
            <w:r>
              <w:rPr>
                <w:rFonts w:hint="eastAsia" w:ascii="仿宋_GB2312" w:hAnsi="宋体" w:eastAsia="仿宋_GB2312" w:cs="宋体"/>
                <w:spacing w:val="-6"/>
                <w:sz w:val="24"/>
                <w:szCs w:val="24"/>
              </w:rPr>
              <w:t>2020年我中心坚持以紧密围绕党工委、管委会中心工作，全力服务港区发展大局为目标。全年举部门之力从党的建设、服务党工委重点工作、资金筹措与运用、建设用地报批、国有土地收储等多方面开展了工作。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1、通过向上积极争取，上半年从岳阳市城投集团公司争取到非港区规划范围内的用地报批主体资格，争取到了土地报批资金1亿元，为土地报批提供了一定的资金保障。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2、为了保障土地收储项目顺利推进，今年土地储备中心累计支付各类征拆、报批、土地开发等资金13.17亿元,强力推进土地征拆与报批工作。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咬紧年度目标，超额完成任务  今年由于新的土地管理法、以及新的空间用途管制的实施，明确征拆工作与用地报批工作同步上报审批，出现重大行政审批制度变革，用地报批工作量增加了一倍。我中心坚持以“确保2000亩、力争3000亩用地报批”为工作目标，截止12月31日，累计已完成省厅审批17个批次，合计3,760亩，占全年目标任务188%，已超额完成年度目标。</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加强联动，争当排头兵  截止12月31日，累计已完成市城投集团岳阳临港创新产业园项目7个批次组卷进入省厅审批，合计1,620亩。目前，全市共完成用地报批7,250亩，全省完成50,430亩，我区占比全市52%，全市排名第一。</w:t>
            </w:r>
          </w:p>
          <w:p>
            <w:pPr>
              <w:autoSpaceDN w:val="0"/>
              <w:spacing w:line="320" w:lineRule="exact"/>
              <w:ind w:firstLine="480" w:firstLineChars="200"/>
              <w:jc w:val="left"/>
              <w:textAlignment w:val="center"/>
              <w:rPr>
                <w:rFonts w:ascii="仿宋_GB2312" w:hAnsi="宋体" w:eastAsia="仿宋_GB2312" w:cs="宋体"/>
                <w:spacing w:val="-6"/>
                <w:sz w:val="24"/>
                <w:szCs w:val="24"/>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利用政策红利、努力降低报批成本  通过向省厅积极对接，我区全年用地报批全部使用省厅新增建设用地年度计划，购买耕地占补平衡指标采用“最低等级耕地+粮食产能+省厅最低限价+分期付款”方式，土地报批成本是近年来最低的。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78" w:type="dxa"/>
            <w:gridSpan w:val="15"/>
            <w:vAlign w:val="center"/>
          </w:tcPr>
          <w:p>
            <w:pPr>
              <w:autoSpaceDN w:val="0"/>
              <w:spacing w:line="32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78" w:type="dxa"/>
            <w:gridSpan w:val="15"/>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70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收入合计</w:t>
            </w:r>
          </w:p>
        </w:tc>
        <w:tc>
          <w:tcPr>
            <w:tcW w:w="6898"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trPr>
        <w:tc>
          <w:tcPr>
            <w:tcW w:w="1700"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w:t>
            </w: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公共财</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政拨款</w:t>
            </w:r>
          </w:p>
        </w:tc>
        <w:tc>
          <w:tcPr>
            <w:tcW w:w="1839" w:type="dxa"/>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纳入专户管理的非税收入拨款</w:t>
            </w:r>
          </w:p>
        </w:tc>
        <w:tc>
          <w:tcPr>
            <w:tcW w:w="958"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trPr>
        <w:tc>
          <w:tcPr>
            <w:tcW w:w="1700"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27210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946"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27210</w:t>
            </w:r>
          </w:p>
        </w:tc>
        <w:tc>
          <w:tcPr>
            <w:tcW w:w="1839" w:type="dxa"/>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958"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700" w:type="dxa"/>
            <w:gridSpan w:val="2"/>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27210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27210</w:t>
            </w:r>
          </w:p>
        </w:tc>
        <w:tc>
          <w:tcPr>
            <w:tcW w:w="1839" w:type="dxa"/>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958"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700" w:type="dxa"/>
            <w:gridSpan w:val="2"/>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946" w:type="dxa"/>
            <w:gridSpan w:val="2"/>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839" w:type="dxa"/>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58" w:type="dxa"/>
            <w:gridSpan w:val="3"/>
            <w:vAlign w:val="center"/>
          </w:tcPr>
          <w:p>
            <w:pPr>
              <w:autoSpaceDN w:val="0"/>
              <w:spacing w:line="320" w:lineRule="exact"/>
              <w:jc w:val="left"/>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700" w:type="dxa"/>
            <w:gridSpan w:val="2"/>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946" w:type="dxa"/>
            <w:gridSpan w:val="2"/>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839" w:type="dxa"/>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58" w:type="dxa"/>
            <w:gridSpan w:val="3"/>
            <w:vAlign w:val="center"/>
          </w:tcPr>
          <w:p>
            <w:pPr>
              <w:autoSpaceDN w:val="0"/>
              <w:spacing w:line="320" w:lineRule="exact"/>
              <w:jc w:val="left"/>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9678" w:type="dxa"/>
            <w:gridSpan w:val="15"/>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 xml:space="preserve">    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Merge w:val="restart"/>
            <w:vAlign w:val="center"/>
          </w:tcPr>
          <w:p>
            <w:pPr>
              <w:snapToGrid w:val="0"/>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支出合计</w:t>
            </w:r>
          </w:p>
        </w:tc>
        <w:tc>
          <w:tcPr>
            <w:tcW w:w="5277"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621"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Merge w:val="continue"/>
            <w:vAlign w:val="center"/>
          </w:tcPr>
          <w:p>
            <w:pPr>
              <w:spacing w:line="320" w:lineRule="exact"/>
              <w:jc w:val="center"/>
              <w:rPr>
                <w:rFonts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基本支出</w:t>
            </w:r>
          </w:p>
        </w:tc>
        <w:tc>
          <w:tcPr>
            <w:tcW w:w="2849"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073"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项目支出</w:t>
            </w:r>
          </w:p>
        </w:tc>
        <w:tc>
          <w:tcPr>
            <w:tcW w:w="851"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当年结余</w:t>
            </w:r>
          </w:p>
        </w:tc>
        <w:tc>
          <w:tcPr>
            <w:tcW w:w="770"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Merge w:val="continue"/>
            <w:vAlign w:val="center"/>
          </w:tcPr>
          <w:p>
            <w:pPr>
              <w:spacing w:line="320" w:lineRule="exact"/>
              <w:jc w:val="center"/>
              <w:rPr>
                <w:rFonts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人员支出</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公用支出</w:t>
            </w:r>
          </w:p>
        </w:tc>
        <w:tc>
          <w:tcPr>
            <w:tcW w:w="1073"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851"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770"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trPr>
        <w:tc>
          <w:tcPr>
            <w:tcW w:w="1700" w:type="dxa"/>
            <w:gridSpan w:val="2"/>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26633.15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104.38</w:t>
            </w:r>
          </w:p>
        </w:tc>
        <w:tc>
          <w:tcPr>
            <w:tcW w:w="946"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104.38</w:t>
            </w:r>
          </w:p>
        </w:tc>
        <w:tc>
          <w:tcPr>
            <w:tcW w:w="1903"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c>
          <w:tcPr>
            <w:tcW w:w="1073"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26528.77</w:t>
            </w:r>
          </w:p>
        </w:tc>
        <w:tc>
          <w:tcPr>
            <w:tcW w:w="851"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576.85</w:t>
            </w:r>
          </w:p>
        </w:tc>
        <w:tc>
          <w:tcPr>
            <w:tcW w:w="770"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576.85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9" w:hRule="atLeast"/>
        </w:trPr>
        <w:tc>
          <w:tcPr>
            <w:tcW w:w="1700" w:type="dxa"/>
            <w:gridSpan w:val="2"/>
            <w:vAlign w:val="center"/>
          </w:tcPr>
          <w:p>
            <w:pPr>
              <w:spacing w:line="32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26633.15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104.38</w:t>
            </w: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104.38</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7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26528.77</w:t>
            </w:r>
          </w:p>
        </w:tc>
        <w:tc>
          <w:tcPr>
            <w:tcW w:w="851"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576.85</w:t>
            </w:r>
          </w:p>
        </w:tc>
        <w:tc>
          <w:tcPr>
            <w:tcW w:w="77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576.85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Align w:val="center"/>
          </w:tcPr>
          <w:p>
            <w:pPr>
              <w:spacing w:line="32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7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851"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77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Align w:val="center"/>
          </w:tcPr>
          <w:p>
            <w:pPr>
              <w:spacing w:line="32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7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851"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77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Merge w:val="restart"/>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三公经费</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898"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Merge w:val="continue"/>
            <w:vAlign w:val="center"/>
          </w:tcPr>
          <w:p>
            <w:pPr>
              <w:spacing w:line="320" w:lineRule="exact"/>
              <w:jc w:val="center"/>
              <w:rPr>
                <w:rFonts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公务接待费</w:t>
            </w: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公务用车运维费</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公务用车购置费</w:t>
            </w: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trPr>
        <w:tc>
          <w:tcPr>
            <w:tcW w:w="1700" w:type="dxa"/>
            <w:gridSpan w:val="2"/>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0</w:t>
            </w: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0</w:t>
            </w: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46"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Merge w:val="restart"/>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固定资产</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819"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Merge w:val="continue"/>
            <w:vAlign w:val="center"/>
          </w:tcPr>
          <w:p>
            <w:pPr>
              <w:spacing w:line="320" w:lineRule="exact"/>
              <w:jc w:val="center"/>
              <w:rPr>
                <w:rFonts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301"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在用固定资产</w:t>
            </w:r>
          </w:p>
        </w:tc>
        <w:tc>
          <w:tcPr>
            <w:tcW w:w="3778"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出租固定资产</w:t>
            </w:r>
          </w:p>
        </w:tc>
        <w:tc>
          <w:tcPr>
            <w:tcW w:w="819"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trPr>
        <w:tc>
          <w:tcPr>
            <w:tcW w:w="1700" w:type="dxa"/>
            <w:gridSpan w:val="2"/>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2301"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3778"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c>
          <w:tcPr>
            <w:tcW w:w="819"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301"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3778"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819"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301"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3778"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819"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700" w:type="dxa"/>
            <w:gridSpan w:val="2"/>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301"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3778"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819"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78" w:type="dxa"/>
            <w:gridSpan w:val="15"/>
            <w:vAlign w:val="center"/>
          </w:tcPr>
          <w:p>
            <w:pPr>
              <w:autoSpaceDN w:val="0"/>
              <w:spacing w:line="32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整体支出绩效定性目标及实施计划完成情况</w:t>
            </w:r>
          </w:p>
        </w:tc>
        <w:tc>
          <w:tcPr>
            <w:tcW w:w="3640"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597" w:type="dxa"/>
            <w:gridSpan w:val="8"/>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3640" w:type="dxa"/>
            <w:gridSpan w:val="6"/>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1、完成年度土地储备计划的编制；</w:t>
            </w:r>
          </w:p>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2、承担临港产业新区范围内分批次征用储备土地的具体事务；</w:t>
            </w:r>
          </w:p>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3、对收回的存量土地实施储备、管理，建好土地储备库；</w:t>
            </w:r>
          </w:p>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4、向管委会提供储备土地与土地开发的有关情况</w:t>
            </w:r>
          </w:p>
        </w:tc>
        <w:tc>
          <w:tcPr>
            <w:tcW w:w="4597" w:type="dxa"/>
            <w:gridSpan w:val="8"/>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均已按照年初党工委、管委会要求完成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绩效定量目标及实施计划完成情况</w:t>
            </w:r>
          </w:p>
        </w:tc>
        <w:tc>
          <w:tcPr>
            <w:tcW w:w="2966" w:type="dxa"/>
            <w:gridSpan w:val="5"/>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评价内容</w:t>
            </w:r>
          </w:p>
        </w:tc>
        <w:tc>
          <w:tcPr>
            <w:tcW w:w="2861"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绩效目标</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产出目标</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2861" w:type="dxa"/>
            <w:gridSpan w:val="4"/>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指标：商业地块履约保证金100%收缴到位</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szCs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2861" w:type="dxa"/>
            <w:gridSpan w:val="4"/>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指标1：保障土地储备资金</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亿元资金的到位；</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保障土地储备资金</w:t>
            </w:r>
            <w:r>
              <w:rPr>
                <w:rFonts w:hint="eastAsia" w:ascii="仿宋_GB2312" w:hAnsi="仿宋_GB2312" w:eastAsia="仿宋_GB2312" w:cs="仿宋_GB2312"/>
                <w:color w:val="000000"/>
                <w:sz w:val="24"/>
                <w:szCs w:val="24"/>
                <w:lang w:val="en-US" w:eastAsia="zh-CN"/>
              </w:rPr>
              <w:t>13.17</w:t>
            </w:r>
            <w:r>
              <w:rPr>
                <w:rFonts w:hint="eastAsia" w:ascii="仿宋_GB2312" w:hAnsi="仿宋_GB2312" w:eastAsia="仿宋_GB2312" w:cs="仿宋_GB2312"/>
                <w:color w:val="000000"/>
                <w:sz w:val="24"/>
                <w:szCs w:val="24"/>
              </w:rPr>
              <w:t>亿元资金的到位；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szCs w:val="24"/>
              </w:rPr>
            </w:pPr>
          </w:p>
        </w:tc>
        <w:tc>
          <w:tcPr>
            <w:tcW w:w="2861" w:type="dxa"/>
            <w:gridSpan w:val="4"/>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指标2：完成土地</w:t>
            </w:r>
            <w:r>
              <w:rPr>
                <w:rFonts w:hint="eastAsia" w:ascii="仿宋_GB2312" w:hAnsi="仿宋_GB2312" w:eastAsia="仿宋_GB2312" w:cs="仿宋_GB2312"/>
                <w:color w:val="000000"/>
                <w:sz w:val="24"/>
                <w:szCs w:val="24"/>
                <w:lang w:eastAsia="zh-CN"/>
              </w:rPr>
              <w:t>报批</w:t>
            </w:r>
            <w:r>
              <w:rPr>
                <w:rFonts w:hint="eastAsia" w:ascii="仿宋_GB2312" w:hAnsi="仿宋_GB2312" w:eastAsia="仿宋_GB2312" w:cs="仿宋_GB2312"/>
                <w:color w:val="000000"/>
                <w:sz w:val="24"/>
                <w:szCs w:val="24"/>
                <w:lang w:val="en-US" w:eastAsia="zh-CN"/>
              </w:rPr>
              <w:t>2000</w:t>
            </w:r>
            <w:r>
              <w:rPr>
                <w:rFonts w:hint="eastAsia" w:ascii="仿宋_GB2312" w:hAnsi="仿宋_GB2312" w:eastAsia="仿宋_GB2312" w:cs="仿宋_GB2312"/>
                <w:color w:val="000000"/>
                <w:sz w:val="24"/>
                <w:szCs w:val="24"/>
              </w:rPr>
              <w:t>亩；</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完成土地</w:t>
            </w:r>
            <w:r>
              <w:rPr>
                <w:rFonts w:hint="eastAsia" w:ascii="仿宋_GB2312" w:hAnsi="仿宋_GB2312" w:eastAsia="仿宋_GB2312" w:cs="仿宋_GB2312"/>
                <w:color w:val="000000"/>
                <w:sz w:val="24"/>
                <w:szCs w:val="24"/>
                <w:lang w:eastAsia="zh-CN"/>
              </w:rPr>
              <w:t>报批</w:t>
            </w:r>
            <w:r>
              <w:rPr>
                <w:rFonts w:hint="eastAsia" w:ascii="仿宋_GB2312" w:hAnsi="仿宋_GB2312" w:eastAsia="仿宋_GB2312" w:cs="仿宋_GB2312"/>
                <w:color w:val="000000"/>
                <w:sz w:val="24"/>
                <w:szCs w:val="24"/>
                <w:lang w:val="en-US" w:eastAsia="zh-CN"/>
              </w:rPr>
              <w:t>3760</w:t>
            </w:r>
            <w:r>
              <w:rPr>
                <w:rFonts w:hint="eastAsia" w:ascii="仿宋_GB2312" w:hAnsi="仿宋_GB2312" w:eastAsia="仿宋_GB2312" w:cs="仿宋_GB2312"/>
                <w:color w:val="000000"/>
                <w:sz w:val="24"/>
                <w:szCs w:val="24"/>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2861" w:type="dxa"/>
            <w:gridSpan w:val="4"/>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2020</w:t>
            </w:r>
            <w:r>
              <w:rPr>
                <w:rFonts w:hint="eastAsia" w:ascii="仿宋_GB2312" w:hAnsi="仿宋_GB2312" w:eastAsia="仿宋_GB2312" w:cs="仿宋_GB2312"/>
                <w:color w:val="000000"/>
                <w:sz w:val="24"/>
                <w:szCs w:val="24"/>
              </w:rPr>
              <w:t>年度内完成；</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2861" w:type="dxa"/>
            <w:gridSpan w:val="4"/>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指标：严格控制预算开支；</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效益目标</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w:t>
            </w:r>
          </w:p>
        </w:tc>
        <w:tc>
          <w:tcPr>
            <w:tcW w:w="2861" w:type="dxa"/>
            <w:gridSpan w:val="4"/>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指标：规范土地使用、开发，保证储备土地升值；</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经济效益</w:t>
            </w:r>
          </w:p>
        </w:tc>
        <w:tc>
          <w:tcPr>
            <w:tcW w:w="2861" w:type="dxa"/>
            <w:gridSpan w:val="4"/>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指标：实现土地出让竞买保证金按评估地价的100%缴纳，保障土地收入入账；</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生态效益</w:t>
            </w:r>
          </w:p>
        </w:tc>
        <w:tc>
          <w:tcPr>
            <w:tcW w:w="2861" w:type="dxa"/>
            <w:gridSpan w:val="4"/>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指标：支持新港区范围内生态保护建设；</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社会公众或服务对象满意度</w:t>
            </w:r>
          </w:p>
        </w:tc>
        <w:tc>
          <w:tcPr>
            <w:tcW w:w="2861" w:type="dxa"/>
            <w:gridSpan w:val="4"/>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指标：服务对象满意度达到95%；群众满意度达到95%；</w:t>
            </w:r>
          </w:p>
        </w:tc>
        <w:tc>
          <w:tcPr>
            <w:tcW w:w="2410" w:type="dxa"/>
            <w:gridSpan w:val="5"/>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绩效自评综合得分</w:t>
            </w:r>
          </w:p>
        </w:tc>
        <w:tc>
          <w:tcPr>
            <w:tcW w:w="6688" w:type="dxa"/>
            <w:gridSpan w:val="11"/>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评价等次</w:t>
            </w:r>
          </w:p>
        </w:tc>
        <w:tc>
          <w:tcPr>
            <w:tcW w:w="6688" w:type="dxa"/>
            <w:gridSpan w:val="11"/>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9678" w:type="dxa"/>
            <w:gridSpan w:val="15"/>
            <w:vAlign w:val="center"/>
          </w:tcPr>
          <w:p>
            <w:pPr>
              <w:autoSpaceDN w:val="0"/>
              <w:spacing w:line="32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2091"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职务/职称</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  位</w:t>
            </w: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29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李汉武</w:t>
            </w:r>
          </w:p>
        </w:tc>
        <w:tc>
          <w:tcPr>
            <w:tcW w:w="2091"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主任</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土地储备中心</w:t>
            </w: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29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刘</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宇</w:t>
            </w:r>
          </w:p>
        </w:tc>
        <w:tc>
          <w:tcPr>
            <w:tcW w:w="2091"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副主任</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土地储备中心</w:t>
            </w: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何四海</w:t>
            </w:r>
          </w:p>
        </w:tc>
        <w:tc>
          <w:tcPr>
            <w:tcW w:w="209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科长</w:t>
            </w:r>
          </w:p>
        </w:tc>
        <w:tc>
          <w:tcPr>
            <w:tcW w:w="1903"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土地储备中心</w:t>
            </w:r>
          </w:p>
        </w:tc>
        <w:tc>
          <w:tcPr>
            <w:tcW w:w="269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3" w:hRule="atLeast"/>
        </w:trPr>
        <w:tc>
          <w:tcPr>
            <w:tcW w:w="9678" w:type="dxa"/>
            <w:gridSpan w:val="15"/>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评价组组长（签字）：</w:t>
            </w:r>
          </w:p>
          <w:p>
            <w:pPr>
              <w:autoSpaceDN w:val="0"/>
              <w:spacing w:line="320" w:lineRule="exact"/>
              <w:jc w:val="left"/>
              <w:textAlignment w:val="center"/>
              <w:rPr>
                <w:rFonts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72" w:hRule="atLeast"/>
        </w:trPr>
        <w:tc>
          <w:tcPr>
            <w:tcW w:w="9678" w:type="dxa"/>
            <w:gridSpan w:val="15"/>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部门（单位）意见：</w:t>
            </w:r>
          </w:p>
          <w:p>
            <w:pPr>
              <w:autoSpaceDN w:val="0"/>
              <w:spacing w:line="320" w:lineRule="exact"/>
              <w:jc w:val="left"/>
              <w:textAlignment w:val="center"/>
              <w:rPr>
                <w:rFonts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58" w:hRule="atLeast"/>
        </w:trPr>
        <w:tc>
          <w:tcPr>
            <w:tcW w:w="9678" w:type="dxa"/>
            <w:gridSpan w:val="15"/>
            <w:vAlign w:val="center"/>
          </w:tcPr>
          <w:p>
            <w:pPr>
              <w:spacing w:line="320" w:lineRule="exact"/>
              <w:rPr>
                <w:rFonts w:ascii="仿宋_GB2312" w:eastAsia="仿宋_GB2312"/>
                <w:sz w:val="24"/>
                <w:szCs w:val="24"/>
              </w:rPr>
            </w:pPr>
            <w:r>
              <w:rPr>
                <w:rFonts w:hint="eastAsia" w:ascii="仿宋_GB2312" w:eastAsia="仿宋_GB2312"/>
                <w:sz w:val="24"/>
                <w:szCs w:val="24"/>
              </w:rPr>
              <w:t>财政部门归口业务科室意见：</w:t>
            </w:r>
          </w:p>
          <w:p>
            <w:pPr>
              <w:spacing w:line="320" w:lineRule="exact"/>
              <w:rPr>
                <w:rFonts w:ascii="仿宋_GB2312" w:eastAsia="仿宋_GB2312"/>
                <w:sz w:val="24"/>
                <w:szCs w:val="24"/>
              </w:rPr>
            </w:pPr>
          </w:p>
          <w:p>
            <w:pPr>
              <w:spacing w:line="320" w:lineRule="exact"/>
              <w:rPr>
                <w:rFonts w:ascii="仿宋_GB2312" w:eastAsia="仿宋_GB2312"/>
                <w:sz w:val="24"/>
                <w:szCs w:val="24"/>
              </w:rPr>
            </w:pPr>
          </w:p>
          <w:p>
            <w:pPr>
              <w:spacing w:line="320" w:lineRule="exact"/>
              <w:rPr>
                <w:rFonts w:ascii="仿宋_GB2312" w:eastAsia="仿宋_GB2312"/>
                <w:sz w:val="24"/>
                <w:szCs w:val="24"/>
              </w:rPr>
            </w:pPr>
          </w:p>
          <w:p>
            <w:pPr>
              <w:spacing w:line="320" w:lineRule="exact"/>
              <w:rPr>
                <w:rFonts w:ascii="仿宋_GB2312" w:eastAsia="仿宋_GB2312"/>
                <w:sz w:val="24"/>
                <w:szCs w:val="24"/>
              </w:rPr>
            </w:pPr>
          </w:p>
          <w:p>
            <w:pPr>
              <w:spacing w:line="320" w:lineRule="exact"/>
              <w:rPr>
                <w:rFonts w:ascii="仿宋_GB2312" w:eastAsia="仿宋_GB2312"/>
                <w:sz w:val="24"/>
                <w:szCs w:val="24"/>
              </w:rPr>
            </w:pPr>
            <w:r>
              <w:rPr>
                <w:rFonts w:hint="eastAsia" w:ascii="仿宋_GB2312" w:eastAsia="仿宋_GB2312"/>
                <w:sz w:val="24"/>
                <w:szCs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eastAsia="仿宋_GB2312"/>
                <w:sz w:val="24"/>
                <w:szCs w:val="24"/>
              </w:rPr>
              <w:t xml:space="preserve">                                                                 年    月   日</w:t>
            </w:r>
          </w:p>
        </w:tc>
      </w:tr>
    </w:tbl>
    <w:p>
      <w:pPr>
        <w:rPr>
          <w:rFonts w:ascii="仿宋_GB2312" w:eastAsia="仿宋_GB2312" w:cs="仿宋_GB2312"/>
          <w:bCs/>
          <w:sz w:val="24"/>
          <w:szCs w:val="24"/>
        </w:rPr>
      </w:pPr>
      <w:r>
        <w:rPr>
          <w:rFonts w:hint="eastAsia" w:ascii="仿宋_GB2312" w:eastAsia="仿宋_GB2312" w:cs="仿宋_GB2312"/>
          <w:bCs/>
          <w:sz w:val="24"/>
          <w:szCs w:val="24"/>
        </w:rPr>
        <w:t>填报人（签名）：                                      联系电话：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trPr>
        <w:tc>
          <w:tcPr>
            <w:tcW w:w="9558" w:type="dxa"/>
          </w:tcPr>
          <w:p>
            <w:pPr>
              <w:autoSpaceDN w:val="0"/>
              <w:spacing w:line="320" w:lineRule="exact"/>
              <w:jc w:val="center"/>
              <w:textAlignment w:val="center"/>
              <w:rPr>
                <w:rFonts w:hint="eastAsia" w:ascii="仿宋_GB2312" w:hAnsi="黑体" w:eastAsia="仿宋_GB2312" w:cs="黑体"/>
                <w:color w:val="000000"/>
                <w:sz w:val="24"/>
                <w:szCs w:val="24"/>
              </w:rPr>
            </w:pPr>
          </w:p>
          <w:p>
            <w:pPr>
              <w:autoSpaceDN w:val="0"/>
              <w:spacing w:line="320" w:lineRule="exact"/>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五、评价报告综述</w:t>
            </w:r>
          </w:p>
          <w:p>
            <w:pPr>
              <w:autoSpaceDN w:val="0"/>
              <w:spacing w:line="320" w:lineRule="exact"/>
              <w:jc w:val="center"/>
              <w:textAlignment w:val="center"/>
              <w:rPr>
                <w:rFonts w:hint="eastAsia" w:ascii="仿宋_GB2312" w:hAnsi="黑体" w:eastAsia="仿宋_GB2312" w:cs="黑体"/>
                <w:color w:val="000000"/>
                <w:sz w:val="24"/>
                <w:szCs w:val="24"/>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63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2010年4月9日，市编办下发《关于成立湖南城陵矶临港产业新区土地储备开发中心的通知》（岳编办通〔2010〕41号），批复成立湖南城陵矶临港产业新区土地储备开发中心。2019年12月16日，市编办下发《关于重新明确湖南城陵矶临港产业新区土地储备开发中心机构编制事项的通知》（岳编办通〔2019〕249号），重新明确土地储备中心为新港区管委会下属正科级公益一类事业单位，设主任1名，副主任2名。主要是负责编制湖南城陵矶新港区规划范围内中长期土地储备规划和年度计划；负责辖区内土地收购、报批、储备和土地出让的前期工作；负责储备土地的管护、临时利用和前期开发；负责土地储备资金管理等工作。</w:t>
            </w:r>
          </w:p>
          <w:p>
            <w:pPr>
              <w:spacing w:line="63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截止</w:t>
            </w:r>
            <w:r>
              <w:rPr>
                <w:rFonts w:hint="eastAsia" w:ascii="仿宋_GB2312" w:hAnsi="仿宋_GB2312" w:eastAsia="仿宋_GB2312" w:cs="仿宋_GB2312"/>
                <w:bCs/>
                <w:sz w:val="28"/>
                <w:szCs w:val="28"/>
                <w:lang w:val="en-US" w:eastAsia="zh-CN"/>
              </w:rPr>
              <w:t>2020年底，</w:t>
            </w:r>
            <w:r>
              <w:rPr>
                <w:rFonts w:hint="eastAsia" w:ascii="仿宋_GB2312" w:hAnsi="仿宋_GB2312" w:eastAsia="仿宋_GB2312" w:cs="仿宋_GB2312"/>
                <w:bCs/>
                <w:sz w:val="28"/>
                <w:szCs w:val="28"/>
              </w:rPr>
              <w:t>我中心现有工作人员</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名，其中班子成员</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名（编制内）、科员</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名（四海揽才），内设</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个业务科室，分别为综合计划科、财务管理科</w:t>
            </w:r>
            <w:r>
              <w:rPr>
                <w:rFonts w:hint="eastAsia" w:ascii="仿宋_GB2312" w:hAnsi="仿宋_GB2312" w:eastAsia="仿宋_GB2312" w:cs="仿宋_GB2312"/>
                <w:bCs/>
                <w:sz w:val="28"/>
                <w:szCs w:val="28"/>
                <w:lang w:eastAsia="zh-CN"/>
              </w:rPr>
              <w:t>、开发利用科等</w:t>
            </w:r>
            <w:r>
              <w:rPr>
                <w:rFonts w:hint="eastAsia" w:ascii="仿宋_GB2312" w:hAnsi="仿宋_GB2312" w:eastAsia="仿宋_GB2312" w:cs="仿宋_GB2312"/>
                <w:bCs/>
                <w:sz w:val="28"/>
                <w:szCs w:val="28"/>
              </w:rPr>
              <w:t>。</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年土地储备中心基本支出预算安排</w:t>
            </w:r>
            <w:r>
              <w:rPr>
                <w:rFonts w:hint="eastAsia" w:ascii="仿宋_GB2312" w:hAnsi="仿宋_GB2312" w:eastAsia="仿宋_GB2312" w:cs="仿宋_GB2312"/>
                <w:bCs/>
                <w:sz w:val="28"/>
                <w:szCs w:val="28"/>
                <w:lang w:val="en-US" w:eastAsia="zh-CN"/>
              </w:rPr>
              <w:t>110</w:t>
            </w:r>
            <w:r>
              <w:rPr>
                <w:rFonts w:hint="eastAsia" w:ascii="仿宋_GB2312" w:hAnsi="仿宋_GB2312" w:eastAsia="仿宋_GB2312" w:cs="仿宋_GB2312"/>
                <w:bCs/>
                <w:sz w:val="28"/>
                <w:szCs w:val="28"/>
              </w:rPr>
              <w:t>万元，实际使用</w:t>
            </w:r>
            <w:r>
              <w:rPr>
                <w:rFonts w:hint="eastAsia" w:ascii="仿宋_GB2312" w:hAnsi="仿宋_GB2312" w:eastAsia="仿宋_GB2312" w:cs="仿宋_GB2312"/>
                <w:bCs/>
                <w:sz w:val="28"/>
                <w:szCs w:val="28"/>
                <w:lang w:val="en-US" w:eastAsia="zh-CN"/>
              </w:rPr>
              <w:t>104.38</w:t>
            </w:r>
            <w:r>
              <w:rPr>
                <w:rFonts w:hint="eastAsia" w:ascii="仿宋_GB2312" w:hAnsi="仿宋_GB2312" w:eastAsia="仿宋_GB2312" w:cs="仿宋_GB2312"/>
                <w:bCs/>
                <w:sz w:val="28"/>
                <w:szCs w:val="28"/>
              </w:rPr>
              <w:t>万元；结余资金为</w:t>
            </w:r>
            <w:r>
              <w:rPr>
                <w:rFonts w:hint="eastAsia" w:ascii="仿宋_GB2312" w:hAnsi="仿宋_GB2312" w:eastAsia="仿宋_GB2312" w:cs="仿宋_GB2312"/>
                <w:bCs/>
                <w:sz w:val="28"/>
                <w:szCs w:val="28"/>
                <w:lang w:val="en-US" w:eastAsia="zh-CN"/>
              </w:rPr>
              <w:t>5.62</w:t>
            </w:r>
            <w:r>
              <w:rPr>
                <w:rFonts w:hint="eastAsia" w:ascii="仿宋_GB2312" w:hAnsi="仿宋_GB2312" w:eastAsia="仿宋_GB2312" w:cs="仿宋_GB2312"/>
                <w:bCs/>
                <w:sz w:val="28"/>
                <w:szCs w:val="28"/>
              </w:rPr>
              <w:t>万元。</w:t>
            </w:r>
          </w:p>
          <w:p>
            <w:pPr>
              <w:spacing w:line="56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项目专项资金</w:t>
            </w: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年预算安排</w:t>
            </w:r>
            <w:r>
              <w:rPr>
                <w:rFonts w:hint="eastAsia" w:ascii="仿宋_GB2312" w:hAnsi="仿宋_GB2312" w:eastAsia="仿宋_GB2312" w:cs="仿宋_GB2312"/>
                <w:bCs/>
                <w:sz w:val="28"/>
                <w:szCs w:val="28"/>
                <w:lang w:val="en-US" w:eastAsia="zh-CN"/>
              </w:rPr>
              <w:t>27100</w:t>
            </w:r>
            <w:r>
              <w:rPr>
                <w:rFonts w:hint="eastAsia" w:ascii="仿宋_GB2312" w:hAnsi="仿宋_GB2312" w:eastAsia="仿宋_GB2312" w:cs="仿宋_GB2312"/>
                <w:bCs/>
                <w:sz w:val="28"/>
                <w:szCs w:val="28"/>
              </w:rPr>
              <w:t>万元，实际使用</w:t>
            </w:r>
            <w:r>
              <w:rPr>
                <w:rFonts w:hint="eastAsia" w:ascii="仿宋_GB2312" w:hAnsi="仿宋_GB2312" w:eastAsia="仿宋_GB2312" w:cs="仿宋_GB2312"/>
                <w:bCs/>
                <w:sz w:val="28"/>
                <w:szCs w:val="28"/>
                <w:lang w:val="en-US" w:eastAsia="zh-CN"/>
              </w:rPr>
              <w:t>26528.77</w:t>
            </w:r>
            <w:r>
              <w:rPr>
                <w:rFonts w:hint="eastAsia" w:ascii="仿宋_GB2312" w:hAnsi="仿宋_GB2312" w:eastAsia="仿宋_GB2312" w:cs="仿宋_GB2312"/>
                <w:bCs/>
                <w:sz w:val="28"/>
                <w:szCs w:val="28"/>
              </w:rPr>
              <w:t>万元，结余项目资金</w:t>
            </w:r>
            <w:r>
              <w:rPr>
                <w:rFonts w:hint="eastAsia" w:ascii="仿宋_GB2312" w:hAnsi="仿宋_GB2312" w:eastAsia="仿宋_GB2312" w:cs="仿宋_GB2312"/>
                <w:bCs/>
                <w:sz w:val="28"/>
                <w:szCs w:val="28"/>
                <w:lang w:val="en-US" w:eastAsia="zh-CN"/>
              </w:rPr>
              <w:t>571.23</w:t>
            </w:r>
            <w:r>
              <w:rPr>
                <w:rFonts w:hint="eastAsia" w:ascii="仿宋_GB2312" w:hAnsi="仿宋_GB2312" w:eastAsia="仿宋_GB2312" w:cs="仿宋_GB2312"/>
                <w:bCs/>
                <w:sz w:val="28"/>
                <w:szCs w:val="28"/>
              </w:rPr>
              <w:t>万元。 我中心严格按照财政资金管理办法，使用各项资金。</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土地储备中心严格按照财政资金管理办法，使用各项资金，专款专用，做好了资金使用台账。经统计，</w:t>
            </w: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年预算安排</w:t>
            </w:r>
            <w:r>
              <w:rPr>
                <w:rFonts w:hint="eastAsia" w:ascii="仿宋_GB2312" w:hAnsi="仿宋_GB2312" w:eastAsia="仿宋_GB2312" w:cs="仿宋_GB2312"/>
                <w:bCs/>
                <w:sz w:val="28"/>
                <w:szCs w:val="28"/>
                <w:lang w:val="en-US" w:eastAsia="zh-CN"/>
              </w:rPr>
              <w:t>27100</w:t>
            </w:r>
            <w:r>
              <w:rPr>
                <w:rFonts w:hint="eastAsia" w:ascii="仿宋_GB2312" w:hAnsi="仿宋_GB2312" w:eastAsia="仿宋_GB2312" w:cs="仿宋_GB2312"/>
                <w:bCs/>
                <w:sz w:val="28"/>
                <w:szCs w:val="28"/>
              </w:rPr>
              <w:t>万元，实际使用</w:t>
            </w:r>
            <w:r>
              <w:rPr>
                <w:rFonts w:hint="eastAsia" w:ascii="仿宋_GB2312" w:hAnsi="仿宋_GB2312" w:eastAsia="仿宋_GB2312" w:cs="仿宋_GB2312"/>
                <w:bCs/>
                <w:sz w:val="28"/>
                <w:szCs w:val="28"/>
                <w:lang w:val="en-US" w:eastAsia="zh-CN"/>
              </w:rPr>
              <w:t>26528.77</w:t>
            </w:r>
            <w:r>
              <w:rPr>
                <w:rFonts w:hint="eastAsia" w:ascii="仿宋_GB2312" w:hAnsi="仿宋_GB2312" w:eastAsia="仿宋_GB2312" w:cs="仿宋_GB2312"/>
                <w:bCs/>
                <w:sz w:val="28"/>
                <w:szCs w:val="28"/>
              </w:rPr>
              <w:t>万元，结余项目资金</w:t>
            </w:r>
            <w:r>
              <w:rPr>
                <w:rFonts w:hint="eastAsia" w:ascii="仿宋_GB2312" w:hAnsi="仿宋_GB2312" w:eastAsia="仿宋_GB2312" w:cs="仿宋_GB2312"/>
                <w:bCs/>
                <w:sz w:val="28"/>
                <w:szCs w:val="28"/>
                <w:lang w:val="en-US" w:eastAsia="zh-CN"/>
              </w:rPr>
              <w:t>571.23</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节省了财政资金，提高了财政资金使用效率。</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土地储备中心严格按照财政资金管理办法，使用各项基本支出、项目支出等专用资金，做好了资金使用台账。经统计，</w:t>
            </w: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年土地储备中心基本支出预算安排</w:t>
            </w:r>
            <w:r>
              <w:rPr>
                <w:rFonts w:hint="eastAsia" w:ascii="仿宋_GB2312" w:hAnsi="仿宋_GB2312" w:eastAsia="仿宋_GB2312" w:cs="仿宋_GB2312"/>
                <w:bCs/>
                <w:sz w:val="28"/>
                <w:szCs w:val="28"/>
                <w:lang w:val="en-US" w:eastAsia="zh-CN"/>
              </w:rPr>
              <w:t>110</w:t>
            </w:r>
            <w:r>
              <w:rPr>
                <w:rFonts w:hint="eastAsia" w:ascii="仿宋_GB2312" w:hAnsi="仿宋_GB2312" w:eastAsia="仿宋_GB2312" w:cs="仿宋_GB2312"/>
                <w:bCs/>
                <w:sz w:val="28"/>
                <w:szCs w:val="28"/>
              </w:rPr>
              <w:t>万元，实际使用</w:t>
            </w:r>
            <w:r>
              <w:rPr>
                <w:rFonts w:hint="eastAsia" w:ascii="仿宋_GB2312" w:hAnsi="仿宋_GB2312" w:eastAsia="仿宋_GB2312" w:cs="仿宋_GB2312"/>
                <w:bCs/>
                <w:sz w:val="28"/>
                <w:szCs w:val="28"/>
                <w:lang w:val="en-US" w:eastAsia="zh-CN"/>
              </w:rPr>
              <w:t>104.38</w:t>
            </w:r>
            <w:r>
              <w:rPr>
                <w:rFonts w:hint="eastAsia" w:ascii="仿宋_GB2312" w:hAnsi="仿宋_GB2312" w:eastAsia="仿宋_GB2312" w:cs="仿宋_GB2312"/>
                <w:bCs/>
                <w:sz w:val="28"/>
                <w:szCs w:val="28"/>
              </w:rPr>
              <w:t>万元；结余资金为</w:t>
            </w:r>
            <w:r>
              <w:rPr>
                <w:rFonts w:hint="eastAsia" w:ascii="仿宋_GB2312" w:hAnsi="仿宋_GB2312" w:eastAsia="仿宋_GB2312" w:cs="仿宋_GB2312"/>
                <w:bCs/>
                <w:sz w:val="28"/>
                <w:szCs w:val="28"/>
                <w:lang w:val="en-US" w:eastAsia="zh-CN"/>
              </w:rPr>
              <w:t>5.62</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项目专项资金</w:t>
            </w: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年预算安排</w:t>
            </w:r>
            <w:r>
              <w:rPr>
                <w:rFonts w:hint="eastAsia" w:ascii="仿宋_GB2312" w:hAnsi="仿宋_GB2312" w:eastAsia="仿宋_GB2312" w:cs="仿宋_GB2312"/>
                <w:bCs/>
                <w:sz w:val="28"/>
                <w:szCs w:val="28"/>
                <w:lang w:val="en-US" w:eastAsia="zh-CN"/>
              </w:rPr>
              <w:t>27100</w:t>
            </w:r>
            <w:r>
              <w:rPr>
                <w:rFonts w:hint="eastAsia" w:ascii="仿宋_GB2312" w:hAnsi="仿宋_GB2312" w:eastAsia="仿宋_GB2312" w:cs="仿宋_GB2312"/>
                <w:bCs/>
                <w:sz w:val="28"/>
                <w:szCs w:val="28"/>
              </w:rPr>
              <w:t>万元，实际使用</w:t>
            </w:r>
            <w:r>
              <w:rPr>
                <w:rFonts w:hint="eastAsia" w:ascii="仿宋_GB2312" w:hAnsi="仿宋_GB2312" w:eastAsia="仿宋_GB2312" w:cs="仿宋_GB2312"/>
                <w:bCs/>
                <w:sz w:val="28"/>
                <w:szCs w:val="28"/>
                <w:lang w:val="en-US" w:eastAsia="zh-CN"/>
              </w:rPr>
              <w:t>26528.77</w:t>
            </w:r>
            <w:r>
              <w:rPr>
                <w:rFonts w:hint="eastAsia" w:ascii="仿宋_GB2312" w:hAnsi="仿宋_GB2312" w:eastAsia="仿宋_GB2312" w:cs="仿宋_GB2312"/>
                <w:bCs/>
                <w:sz w:val="28"/>
                <w:szCs w:val="28"/>
              </w:rPr>
              <w:t>万元，结余项目资金</w:t>
            </w:r>
            <w:r>
              <w:rPr>
                <w:rFonts w:hint="eastAsia" w:ascii="仿宋_GB2312" w:hAnsi="仿宋_GB2312" w:eastAsia="仿宋_GB2312" w:cs="仿宋_GB2312"/>
                <w:bCs/>
                <w:sz w:val="28"/>
                <w:szCs w:val="28"/>
                <w:lang w:val="en-US" w:eastAsia="zh-CN"/>
              </w:rPr>
              <w:t>571.23</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节省了财政资金，提高了财政资金使用效率。</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无</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hint="eastAsia" w:ascii="仿宋_GB2312" w:hAnsi="仿宋_GB2312" w:eastAsia="仿宋_GB2312" w:cs="仿宋_GB2312"/>
                <w:bCs/>
                <w:sz w:val="28"/>
                <w:szCs w:val="28"/>
              </w:rPr>
            </w:pPr>
            <w:bookmarkStart w:id="0" w:name="_GoBack"/>
            <w:bookmarkEnd w:id="0"/>
            <w:r>
              <w:rPr>
                <w:rFonts w:hint="eastAsia" w:ascii="仿宋_GB2312" w:hAnsi="仿宋_GB2312" w:eastAsia="仿宋_GB2312" w:cs="仿宋_GB2312"/>
                <w:bCs/>
                <w:sz w:val="28"/>
                <w:szCs w:val="28"/>
              </w:rPr>
              <w:t>无</w:t>
            </w:r>
          </w:p>
          <w:p>
            <w:pPr>
              <w:rPr>
                <w:rFonts w:hint="eastAsia" w:ascii="仿宋_GB2312" w:hAnsi="仿宋_GB2312" w:eastAsia="仿宋_GB2312" w:cs="仿宋_GB2312"/>
                <w:bCs/>
                <w:sz w:val="28"/>
                <w:szCs w:val="28"/>
              </w:rPr>
            </w:pPr>
          </w:p>
          <w:p>
            <w:pPr>
              <w:rPr>
                <w:rFonts w:ascii="仿宋_GB2312" w:hAnsi="仿宋_GB2312" w:eastAsia="仿宋_GB2312" w:cs="仿宋_GB2312"/>
                <w:bCs/>
                <w:sz w:val="28"/>
                <w:szCs w:val="28"/>
              </w:rPr>
            </w:pPr>
          </w:p>
        </w:tc>
      </w:tr>
    </w:tbl>
    <w:p>
      <w:pPr>
        <w:spacing w:line="348" w:lineRule="auto"/>
        <w:rPr>
          <w:rFonts w:eastAsia="楷体_GB2312"/>
          <w:bCs/>
          <w:sz w:val="28"/>
          <w:szCs w:val="28"/>
        </w:rPr>
      </w:pPr>
    </w:p>
    <w:p>
      <w:pPr>
        <w:rPr>
          <w:rFonts w:ascii="黑体" w:hAnsi="黑体" w:eastAsia="黑体"/>
          <w:sz w:val="32"/>
          <w:szCs w:val="32"/>
        </w:rPr>
      </w:pP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line="348" w:lineRule="auto"/>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10</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3443"/>
    <w:rsid w:val="00002153"/>
    <w:rsid w:val="00087C65"/>
    <w:rsid w:val="000E0103"/>
    <w:rsid w:val="000F3394"/>
    <w:rsid w:val="00122B08"/>
    <w:rsid w:val="00135358"/>
    <w:rsid w:val="00180538"/>
    <w:rsid w:val="0019788B"/>
    <w:rsid w:val="001D17BB"/>
    <w:rsid w:val="001D7FF8"/>
    <w:rsid w:val="00202E1A"/>
    <w:rsid w:val="00204856"/>
    <w:rsid w:val="0022696C"/>
    <w:rsid w:val="00261791"/>
    <w:rsid w:val="002808F1"/>
    <w:rsid w:val="002C12A9"/>
    <w:rsid w:val="002C3E04"/>
    <w:rsid w:val="002D1F52"/>
    <w:rsid w:val="002F7F1C"/>
    <w:rsid w:val="00300319"/>
    <w:rsid w:val="003020A4"/>
    <w:rsid w:val="00307CBE"/>
    <w:rsid w:val="003476DA"/>
    <w:rsid w:val="00357EF6"/>
    <w:rsid w:val="0036143C"/>
    <w:rsid w:val="003B2F20"/>
    <w:rsid w:val="003B4710"/>
    <w:rsid w:val="003D5262"/>
    <w:rsid w:val="004274A2"/>
    <w:rsid w:val="00436334"/>
    <w:rsid w:val="00476283"/>
    <w:rsid w:val="004B3664"/>
    <w:rsid w:val="004E344C"/>
    <w:rsid w:val="004F2C95"/>
    <w:rsid w:val="005B3505"/>
    <w:rsid w:val="005B38F1"/>
    <w:rsid w:val="005E1F8F"/>
    <w:rsid w:val="005E39C4"/>
    <w:rsid w:val="00613443"/>
    <w:rsid w:val="0065307D"/>
    <w:rsid w:val="00673BC2"/>
    <w:rsid w:val="00686240"/>
    <w:rsid w:val="006B0917"/>
    <w:rsid w:val="006B0E3A"/>
    <w:rsid w:val="00754128"/>
    <w:rsid w:val="007654AA"/>
    <w:rsid w:val="007D08BD"/>
    <w:rsid w:val="007D0C6A"/>
    <w:rsid w:val="007E336F"/>
    <w:rsid w:val="00815BAE"/>
    <w:rsid w:val="008414D7"/>
    <w:rsid w:val="00844F15"/>
    <w:rsid w:val="00897387"/>
    <w:rsid w:val="008A1D25"/>
    <w:rsid w:val="008E0CA7"/>
    <w:rsid w:val="008F2870"/>
    <w:rsid w:val="00916DC5"/>
    <w:rsid w:val="00954B0E"/>
    <w:rsid w:val="009855D7"/>
    <w:rsid w:val="00987F89"/>
    <w:rsid w:val="009A253E"/>
    <w:rsid w:val="009C6E40"/>
    <w:rsid w:val="009E0AA0"/>
    <w:rsid w:val="00A039A8"/>
    <w:rsid w:val="00A14F2C"/>
    <w:rsid w:val="00A15614"/>
    <w:rsid w:val="00A345AC"/>
    <w:rsid w:val="00A676EC"/>
    <w:rsid w:val="00AC7FB1"/>
    <w:rsid w:val="00AD4787"/>
    <w:rsid w:val="00AD6CDB"/>
    <w:rsid w:val="00B02520"/>
    <w:rsid w:val="00B30EA7"/>
    <w:rsid w:val="00B43AFA"/>
    <w:rsid w:val="00B50570"/>
    <w:rsid w:val="00B67437"/>
    <w:rsid w:val="00BB2160"/>
    <w:rsid w:val="00BB5B9B"/>
    <w:rsid w:val="00C045FE"/>
    <w:rsid w:val="00C44E9D"/>
    <w:rsid w:val="00C5302C"/>
    <w:rsid w:val="00C81CEE"/>
    <w:rsid w:val="00C82C06"/>
    <w:rsid w:val="00CA4FA9"/>
    <w:rsid w:val="00CC125F"/>
    <w:rsid w:val="00CC2670"/>
    <w:rsid w:val="00CE5A15"/>
    <w:rsid w:val="00CF2BA0"/>
    <w:rsid w:val="00D135E2"/>
    <w:rsid w:val="00D437CF"/>
    <w:rsid w:val="00D527F2"/>
    <w:rsid w:val="00D61255"/>
    <w:rsid w:val="00D75469"/>
    <w:rsid w:val="00D80E96"/>
    <w:rsid w:val="00D8160E"/>
    <w:rsid w:val="00DB3FEC"/>
    <w:rsid w:val="00DC2B6C"/>
    <w:rsid w:val="00DE1E9B"/>
    <w:rsid w:val="00DF4A69"/>
    <w:rsid w:val="00E212EB"/>
    <w:rsid w:val="00E45517"/>
    <w:rsid w:val="00E62DB0"/>
    <w:rsid w:val="00E84FD2"/>
    <w:rsid w:val="00E91CC4"/>
    <w:rsid w:val="00EC631E"/>
    <w:rsid w:val="00EC749D"/>
    <w:rsid w:val="00F11CFA"/>
    <w:rsid w:val="00F13C01"/>
    <w:rsid w:val="00F2502C"/>
    <w:rsid w:val="00F411FD"/>
    <w:rsid w:val="00F51B19"/>
    <w:rsid w:val="00F67A50"/>
    <w:rsid w:val="00F85297"/>
    <w:rsid w:val="00F92F70"/>
    <w:rsid w:val="00FA54C9"/>
    <w:rsid w:val="00FC68A2"/>
    <w:rsid w:val="00FF0C63"/>
    <w:rsid w:val="0A046EC8"/>
    <w:rsid w:val="0BCF0F16"/>
    <w:rsid w:val="0DAF1C49"/>
    <w:rsid w:val="119A074F"/>
    <w:rsid w:val="127C633D"/>
    <w:rsid w:val="19D767C9"/>
    <w:rsid w:val="28F00F8F"/>
    <w:rsid w:val="2922551D"/>
    <w:rsid w:val="30347B6E"/>
    <w:rsid w:val="3AC9167F"/>
    <w:rsid w:val="3B566F8A"/>
    <w:rsid w:val="3E417A02"/>
    <w:rsid w:val="40D56390"/>
    <w:rsid w:val="4D3434DD"/>
    <w:rsid w:val="4E6C5E71"/>
    <w:rsid w:val="515E1396"/>
    <w:rsid w:val="611C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Char"/>
    <w:basedOn w:val="7"/>
    <w:link w:val="2"/>
    <w:qFormat/>
    <w:uiPriority w:val="0"/>
    <w:rPr>
      <w:rFonts w:ascii="仿宋_GB2312" w:hAnsi="Calibri" w:eastAsia="仿宋_GB2312" w:cs="Times New Roman"/>
      <w:sz w:val="32"/>
      <w:szCs w:val="24"/>
    </w:rPr>
  </w:style>
  <w:style w:type="paragraph" w:styleId="14">
    <w:name w:val="List Paragraph"/>
    <w:basedOn w:val="1"/>
    <w:qFormat/>
    <w:uiPriority w:val="34"/>
    <w:pPr>
      <w:ind w:firstLine="420" w:firstLineChars="200"/>
    </w:pPr>
  </w:style>
  <w:style w:type="character" w:customStyle="1" w:styleId="15">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15E58-FABD-4B8B-8804-159218914F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928</Words>
  <Characters>5295</Characters>
  <Lines>44</Lines>
  <Paragraphs>12</Paragraphs>
  <TotalTime>9</TotalTime>
  <ScaleCrop>false</ScaleCrop>
  <LinksUpToDate>false</LinksUpToDate>
  <CharactersWithSpaces>6211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2020-07-30T08:03:00Z</dcterms:created>
  <dc:creator>PC</dc:creator>
  <cp:lastModifiedBy>肖志芳</cp:lastModifiedBy>
  <cp:lastPrinted>2020-08-20T07:44:00Z</cp:lastPrinted>
  <dcterms:modified xsi:type="dcterms:W3CDTF">2021-08-27T01:11:42Z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B03B908C72D448C389E26164CF67A971</vt:lpwstr>
  </property>
</Properties>
</file>