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Times New Roman"/>
          <w:color w:val="000000" w:themeColor="text1"/>
          <w:sz w:val="32"/>
        </w:rPr>
      </w:pPr>
    </w:p>
    <w:p>
      <w:pPr>
        <w:jc w:val="center"/>
        <w:rPr>
          <w:rFonts w:cs="Times New Roman"/>
          <w:color w:val="000000" w:themeColor="text1"/>
          <w:sz w:val="32"/>
        </w:rPr>
      </w:pPr>
    </w:p>
    <w:p>
      <w:pPr>
        <w:kinsoku w:val="0"/>
        <w:overflowPunct w:val="0"/>
        <w:autoSpaceDE w:val="0"/>
        <w:autoSpaceDN w:val="0"/>
        <w:adjustRightInd w:val="0"/>
        <w:snapToGrid w:val="0"/>
        <w:spacing w:line="360" w:lineRule="auto"/>
        <w:jc w:val="center"/>
        <w:rPr>
          <w:rFonts w:cs="Times New Roman"/>
          <w:b/>
          <w:color w:val="000000" w:themeColor="text1"/>
          <w:sz w:val="44"/>
          <w:szCs w:val="44"/>
        </w:rPr>
      </w:pPr>
      <w:r>
        <w:rPr>
          <w:rFonts w:cs="Times New Roman"/>
          <w:b/>
          <w:color w:val="000000" w:themeColor="text1"/>
          <w:sz w:val="44"/>
          <w:szCs w:val="44"/>
        </w:rPr>
        <w:t>宏源分公司异地搬迁项目(90万m</w:t>
      </w:r>
      <w:r>
        <w:rPr>
          <w:rFonts w:cs="Times New Roman"/>
          <w:b/>
          <w:color w:val="000000" w:themeColor="text1"/>
          <w:sz w:val="44"/>
          <w:szCs w:val="44"/>
          <w:vertAlign w:val="superscript"/>
        </w:rPr>
        <w:t>3</w:t>
      </w:r>
      <w:r>
        <w:rPr>
          <w:rFonts w:cs="Times New Roman"/>
          <w:b/>
          <w:color w:val="000000" w:themeColor="text1"/>
          <w:sz w:val="44"/>
          <w:szCs w:val="44"/>
        </w:rPr>
        <w:t>/年商品混凝土)环境影响报告表</w:t>
      </w:r>
    </w:p>
    <w:p>
      <w:pPr>
        <w:kinsoku w:val="0"/>
        <w:overflowPunct w:val="0"/>
        <w:autoSpaceDE w:val="0"/>
        <w:autoSpaceDN w:val="0"/>
        <w:adjustRightInd w:val="0"/>
        <w:snapToGrid w:val="0"/>
        <w:spacing w:line="360" w:lineRule="auto"/>
        <w:rPr>
          <w:rFonts w:cs="Times New Roman"/>
          <w:b/>
          <w:color w:val="000000" w:themeColor="text1"/>
          <w:sz w:val="44"/>
          <w:szCs w:val="44"/>
        </w:rPr>
      </w:pPr>
    </w:p>
    <w:p>
      <w:pPr>
        <w:kinsoku w:val="0"/>
        <w:overflowPunct w:val="0"/>
        <w:autoSpaceDE w:val="0"/>
        <w:autoSpaceDN w:val="0"/>
        <w:adjustRightInd w:val="0"/>
        <w:snapToGrid w:val="0"/>
        <w:jc w:val="center"/>
        <w:rPr>
          <w:rFonts w:cs="Times New Roman"/>
          <w:b/>
          <w:color w:val="000000" w:themeColor="text1"/>
          <w:sz w:val="32"/>
          <w:szCs w:val="32"/>
        </w:rPr>
      </w:pPr>
    </w:p>
    <w:p>
      <w:pPr>
        <w:kinsoku w:val="0"/>
        <w:overflowPunct w:val="0"/>
        <w:autoSpaceDE w:val="0"/>
        <w:autoSpaceDN w:val="0"/>
        <w:adjustRightInd w:val="0"/>
        <w:snapToGrid w:val="0"/>
        <w:jc w:val="center"/>
        <w:rPr>
          <w:rFonts w:cs="Times New Roman"/>
          <w:b/>
          <w:color w:val="000000" w:themeColor="text1"/>
          <w:sz w:val="32"/>
          <w:szCs w:val="32"/>
        </w:rPr>
      </w:pPr>
    </w:p>
    <w:p>
      <w:pPr>
        <w:kinsoku w:val="0"/>
        <w:overflowPunct w:val="0"/>
        <w:autoSpaceDE w:val="0"/>
        <w:autoSpaceDN w:val="0"/>
        <w:adjustRightInd w:val="0"/>
        <w:snapToGrid w:val="0"/>
        <w:jc w:val="center"/>
        <w:rPr>
          <w:rFonts w:cs="Times New Roman"/>
          <w:b/>
          <w:color w:val="000000" w:themeColor="text1"/>
          <w:sz w:val="44"/>
          <w:szCs w:val="44"/>
        </w:rPr>
      </w:pPr>
      <w:r>
        <w:rPr>
          <w:rFonts w:cs="Times New Roman"/>
          <w:b/>
          <w:color w:val="000000" w:themeColor="text1"/>
          <w:sz w:val="44"/>
          <w:szCs w:val="44"/>
        </w:rPr>
        <w:t>（</w:t>
      </w:r>
      <w:r>
        <w:rPr>
          <w:rFonts w:hint="eastAsia" w:cs="Times New Roman"/>
          <w:b/>
          <w:color w:val="000000" w:themeColor="text1"/>
          <w:sz w:val="44"/>
          <w:szCs w:val="44"/>
        </w:rPr>
        <w:t>报批</w:t>
      </w:r>
      <w:r>
        <w:rPr>
          <w:rFonts w:cs="Times New Roman"/>
          <w:b/>
          <w:color w:val="000000" w:themeColor="text1"/>
          <w:sz w:val="44"/>
          <w:szCs w:val="44"/>
        </w:rPr>
        <w:t>稿）</w:t>
      </w: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rPr>
          <w:rFonts w:cs="Times New Roman"/>
        </w:rPr>
      </w:pPr>
    </w:p>
    <w:p>
      <w:pPr>
        <w:kinsoku w:val="0"/>
        <w:overflowPunct w:val="0"/>
        <w:autoSpaceDE w:val="0"/>
        <w:autoSpaceDN w:val="0"/>
        <w:adjustRightInd w:val="0"/>
        <w:snapToGrid w:val="0"/>
        <w:jc w:val="center"/>
        <w:rPr>
          <w:rFonts w:cs="Times New Roman"/>
        </w:rPr>
      </w:pPr>
    </w:p>
    <w:p>
      <w:pPr>
        <w:kinsoku w:val="0"/>
        <w:overflowPunct w:val="0"/>
        <w:autoSpaceDE w:val="0"/>
        <w:autoSpaceDN w:val="0"/>
        <w:adjustRightInd w:val="0"/>
        <w:snapToGrid w:val="0"/>
        <w:jc w:val="center"/>
        <w:rPr>
          <w:rFonts w:cs="Times New Roman"/>
        </w:rPr>
      </w:pPr>
    </w:p>
    <w:p>
      <w:pPr>
        <w:rPr>
          <w:rFonts w:cs="Times New Roman"/>
        </w:rPr>
      </w:pPr>
    </w:p>
    <w:p>
      <w:pPr>
        <w:rPr>
          <w:rFonts w:cs="Times New Roman"/>
        </w:rPr>
      </w:pPr>
    </w:p>
    <w:p>
      <w:pPr>
        <w:rPr>
          <w:rFonts w:cs="Times New Roman"/>
          <w:sz w:val="20"/>
        </w:rPr>
      </w:pPr>
    </w:p>
    <w:p>
      <w:pPr>
        <w:jc w:val="center"/>
        <w:rPr>
          <w:rFonts w:cs="Times New Roman"/>
          <w:sz w:val="30"/>
          <w:szCs w:val="30"/>
        </w:rPr>
      </w:pPr>
      <w:r>
        <w:rPr>
          <w:rFonts w:cs="Times New Roman"/>
          <w:sz w:val="30"/>
          <w:szCs w:val="30"/>
        </w:rPr>
        <w:t>湖南九湘环保科技有限公司</w:t>
      </w:r>
    </w:p>
    <w:p>
      <w:pPr>
        <w:jc w:val="center"/>
        <w:rPr>
          <w:rFonts w:cs="Times New Roman"/>
          <w:sz w:val="30"/>
          <w:szCs w:val="30"/>
        </w:rPr>
      </w:pPr>
      <w:r>
        <w:rPr>
          <w:rFonts w:cs="Times New Roman"/>
          <w:sz w:val="30"/>
          <w:szCs w:val="30"/>
        </w:rPr>
        <w:t>二〇二</w:t>
      </w:r>
      <w:r>
        <w:rPr>
          <w:rFonts w:hint="eastAsia" w:cs="Times New Roman"/>
          <w:sz w:val="30"/>
          <w:szCs w:val="30"/>
          <w:lang w:eastAsia="zh-CN"/>
        </w:rPr>
        <w:t>一</w:t>
      </w:r>
      <w:r>
        <w:rPr>
          <w:rFonts w:cs="Times New Roman"/>
          <w:sz w:val="30"/>
          <w:szCs w:val="30"/>
        </w:rPr>
        <w:t>年</w:t>
      </w:r>
      <w:r>
        <w:rPr>
          <w:rFonts w:hint="eastAsia" w:cs="Times New Roman"/>
          <w:sz w:val="30"/>
          <w:szCs w:val="30"/>
          <w:lang w:eastAsia="zh-CN"/>
        </w:rPr>
        <w:t>一</w:t>
      </w:r>
      <w:r>
        <w:rPr>
          <w:rFonts w:cs="Times New Roman"/>
          <w:sz w:val="30"/>
          <w:szCs w:val="30"/>
        </w:rPr>
        <w:t>月</w:t>
      </w:r>
    </w:p>
    <w:p>
      <w:pPr>
        <w:jc w:val="center"/>
        <w:rPr>
          <w:rFonts w:cs="Times New Roman"/>
          <w:color w:val="000000" w:themeColor="text1"/>
          <w:sz w:val="32"/>
        </w:rPr>
        <w:sectPr>
          <w:pgSz w:w="11906" w:h="16838"/>
          <w:pgMar w:top="1440" w:right="1983"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cs="Times New Roman"/>
          <w:color w:val="000000" w:themeColor="text1"/>
          <w:sz w:val="32"/>
        </w:rPr>
      </w:pPr>
      <w:r>
        <w:rPr>
          <w:rFonts w:cs="Times New Roman"/>
          <w:color w:val="000000" w:themeColor="text1"/>
          <w:sz w:val="32"/>
        </w:rPr>
        <w:t>《建设项目环境影响报告表》编制说明</w:t>
      </w:r>
    </w:p>
    <w:p>
      <w:pPr>
        <w:spacing w:line="480" w:lineRule="auto"/>
        <w:rPr>
          <w:rFonts w:cs="Times New Roman"/>
          <w:color w:val="000000" w:themeColor="text1"/>
        </w:rPr>
      </w:pPr>
    </w:p>
    <w:p>
      <w:pPr>
        <w:spacing w:line="480" w:lineRule="auto"/>
        <w:ind w:firstLine="560" w:firstLineChars="200"/>
        <w:rPr>
          <w:rFonts w:cs="Times New Roman"/>
          <w:color w:val="000000" w:themeColor="text1"/>
          <w:sz w:val="28"/>
        </w:rPr>
      </w:pPr>
      <w:r>
        <w:rPr>
          <w:rFonts w:cs="Times New Roman"/>
          <w:color w:val="000000" w:themeColor="text1"/>
          <w:sz w:val="28"/>
        </w:rPr>
        <w:t>《建设项目环境影响报告表》由具有从事环境影响评价工作资质的单位编制。</w:t>
      </w:r>
    </w:p>
    <w:p>
      <w:pPr>
        <w:spacing w:line="480" w:lineRule="auto"/>
        <w:rPr>
          <w:rFonts w:cs="Times New Roman"/>
          <w:color w:val="000000" w:themeColor="text1"/>
          <w:sz w:val="28"/>
        </w:rPr>
      </w:pPr>
      <w:r>
        <w:rPr>
          <w:rFonts w:cs="Times New Roman"/>
          <w:color w:val="000000" w:themeColor="text1"/>
          <w:sz w:val="28"/>
        </w:rPr>
        <w:t>1．项目名称――指项目立项批复时的名称，应不超过30个字（两个英文字段作一个汉字）。</w:t>
      </w:r>
    </w:p>
    <w:p>
      <w:pPr>
        <w:spacing w:line="480" w:lineRule="auto"/>
        <w:rPr>
          <w:rFonts w:cs="Times New Roman"/>
          <w:color w:val="000000" w:themeColor="text1"/>
          <w:sz w:val="28"/>
        </w:rPr>
      </w:pPr>
      <w:r>
        <w:rPr>
          <w:rFonts w:cs="Times New Roman"/>
          <w:color w:val="000000" w:themeColor="text1"/>
          <w:sz w:val="28"/>
        </w:rPr>
        <w:t>2．建设地点――指项目所在地详细地址，公路、铁路应填写起止地点。</w:t>
      </w:r>
    </w:p>
    <w:p>
      <w:pPr>
        <w:spacing w:line="480" w:lineRule="auto"/>
        <w:rPr>
          <w:rFonts w:cs="Times New Roman"/>
          <w:color w:val="000000" w:themeColor="text1"/>
          <w:sz w:val="28"/>
        </w:rPr>
      </w:pPr>
      <w:r>
        <w:rPr>
          <w:rFonts w:cs="Times New Roman"/>
          <w:color w:val="000000" w:themeColor="text1"/>
          <w:sz w:val="28"/>
        </w:rPr>
        <w:t>3．行业类别――按国标填写。</w:t>
      </w:r>
    </w:p>
    <w:p>
      <w:pPr>
        <w:spacing w:line="480" w:lineRule="auto"/>
        <w:rPr>
          <w:rFonts w:cs="Times New Roman"/>
          <w:color w:val="000000" w:themeColor="text1"/>
          <w:sz w:val="28"/>
        </w:rPr>
      </w:pPr>
      <w:r>
        <w:rPr>
          <w:rFonts w:cs="Times New Roman"/>
          <w:color w:val="000000" w:themeColor="text1"/>
          <w:sz w:val="28"/>
        </w:rPr>
        <w:t>4．总投资――指项目投资总额。</w:t>
      </w:r>
    </w:p>
    <w:p>
      <w:pPr>
        <w:spacing w:line="480" w:lineRule="auto"/>
        <w:rPr>
          <w:rFonts w:cs="Times New Roman"/>
          <w:color w:val="000000" w:themeColor="text1"/>
          <w:sz w:val="28"/>
        </w:rPr>
      </w:pPr>
      <w:r>
        <w:rPr>
          <w:rFonts w:cs="Times New Roman"/>
          <w:color w:val="000000" w:themeColor="text1"/>
          <w:sz w:val="28"/>
        </w:rPr>
        <w:t>5．主要环境保护目标――指项目区周围一范围内集中居民住宅区、学校、医院、保护文物、风景名胜区、水源地和生态敏感点等，应尽可能给出保护目标、性质、规模和距厂界距离等。</w:t>
      </w:r>
    </w:p>
    <w:p>
      <w:pPr>
        <w:spacing w:line="480" w:lineRule="auto"/>
        <w:rPr>
          <w:rFonts w:cs="Times New Roman"/>
          <w:color w:val="000000" w:themeColor="text1"/>
          <w:sz w:val="28"/>
        </w:rPr>
      </w:pPr>
      <w:r>
        <w:rPr>
          <w:rFonts w:cs="Times New Roman"/>
          <w:color w:val="000000" w:themeColor="text1"/>
          <w:sz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rPr>
          <w:rFonts w:cs="Times New Roman"/>
          <w:color w:val="000000" w:themeColor="text1"/>
          <w:sz w:val="28"/>
        </w:rPr>
      </w:pPr>
      <w:r>
        <w:rPr>
          <w:rFonts w:cs="Times New Roman"/>
          <w:color w:val="000000" w:themeColor="text1"/>
          <w:sz w:val="28"/>
        </w:rPr>
        <w:t>7．预审意见――由行业主管部门填写答复意见，无主管部门项目，可不填。</w:t>
      </w:r>
    </w:p>
    <w:p>
      <w:pPr>
        <w:jc w:val="center"/>
        <w:rPr>
          <w:rFonts w:cs="Times New Roman"/>
          <w:color w:val="000000" w:themeColor="text1"/>
          <w:sz w:val="28"/>
        </w:rPr>
      </w:pPr>
      <w:r>
        <w:rPr>
          <w:rFonts w:cs="Times New Roman"/>
          <w:color w:val="000000" w:themeColor="text1"/>
          <w:sz w:val="28"/>
        </w:rPr>
        <w:t>8．审批意见――由负责审批该项目的环境保护行政主管部门批复。</w:t>
      </w:r>
    </w:p>
    <w:p>
      <w:pPr>
        <w:widowControl/>
        <w:jc w:val="left"/>
        <w:rPr>
          <w:rFonts w:cs="Times New Roman"/>
          <w:color w:val="000000" w:themeColor="text1"/>
        </w:rPr>
      </w:pPr>
    </w:p>
    <w:p>
      <w:pPr>
        <w:widowControl/>
        <w:jc w:val="center"/>
        <w:rPr>
          <w:rFonts w:cs="Times New Roman"/>
          <w:b/>
          <w:color w:val="000000" w:themeColor="text1"/>
          <w:sz w:val="30"/>
          <w:szCs w:val="30"/>
        </w:rPr>
        <w:sectPr>
          <w:footerReference r:id="rId3" w:type="default"/>
          <w:pgSz w:w="11906" w:h="16838"/>
          <w:pgMar w:top="1440" w:right="1983"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widowControl/>
        <w:jc w:val="center"/>
        <w:rPr>
          <w:rFonts w:cs="Times New Roman"/>
          <w:b/>
          <w:color w:val="000000" w:themeColor="text1"/>
          <w:sz w:val="30"/>
          <w:szCs w:val="30"/>
        </w:rPr>
      </w:pPr>
      <w:r>
        <w:rPr>
          <w:rFonts w:cs="Times New Roman"/>
          <w:b/>
          <w:color w:val="000000" w:themeColor="text1"/>
          <w:sz w:val="30"/>
          <w:szCs w:val="30"/>
        </w:rPr>
        <w:t>目 录</w:t>
      </w:r>
    </w:p>
    <w:p>
      <w:pPr>
        <w:widowControl/>
        <w:spacing w:line="360" w:lineRule="auto"/>
        <w:jc w:val="center"/>
        <w:rPr>
          <w:rFonts w:cs="Times New Roman"/>
          <w:b/>
          <w:color w:val="000000" w:themeColor="text1"/>
          <w:sz w:val="30"/>
          <w:szCs w:val="30"/>
        </w:rPr>
      </w:pPr>
    </w:p>
    <w:p>
      <w:pPr>
        <w:pStyle w:val="26"/>
        <w:tabs>
          <w:tab w:val="right" w:leader="dot" w:pos="8306"/>
        </w:tabs>
        <w:spacing w:line="360" w:lineRule="auto"/>
        <w:rPr>
          <w:rFonts w:cs="Times New Roman"/>
        </w:rPr>
      </w:pPr>
      <w:r>
        <w:rPr>
          <w:rFonts w:cs="Times New Roman"/>
          <w:b/>
          <w:color w:val="000000" w:themeColor="text1"/>
          <w:sz w:val="30"/>
          <w:szCs w:val="30"/>
        </w:rPr>
        <w:fldChar w:fldCharType="begin"/>
      </w:r>
      <w:r>
        <w:rPr>
          <w:rFonts w:cs="Times New Roman"/>
          <w:b/>
          <w:color w:val="000000" w:themeColor="text1"/>
          <w:sz w:val="30"/>
          <w:szCs w:val="30"/>
        </w:rPr>
        <w:instrText xml:space="preserve"> TOC \o "1-1" \h \z \u </w:instrText>
      </w:r>
      <w:r>
        <w:rPr>
          <w:rFonts w:cs="Times New Roman"/>
          <w:b/>
          <w:color w:val="000000" w:themeColor="text1"/>
          <w:sz w:val="30"/>
          <w:szCs w:val="30"/>
        </w:rPr>
        <w:fldChar w:fldCharType="separate"/>
      </w:r>
      <w:r>
        <w:fldChar w:fldCharType="begin"/>
      </w:r>
      <w:r>
        <w:instrText xml:space="preserve"> HYPERLINK \l "_Toc6985" </w:instrText>
      </w:r>
      <w:r>
        <w:fldChar w:fldCharType="separate"/>
      </w:r>
      <w:r>
        <w:rPr>
          <w:rFonts w:cs="Times New Roman"/>
        </w:rPr>
        <w:t>1 建设项目基本情况</w:t>
      </w:r>
      <w:r>
        <w:rPr>
          <w:rFonts w:cs="Times New Roman"/>
        </w:rPr>
        <w:tab/>
      </w:r>
      <w:r>
        <w:rPr>
          <w:rFonts w:cs="Times New Roman"/>
        </w:rPr>
        <w:fldChar w:fldCharType="begin"/>
      </w:r>
      <w:r>
        <w:rPr>
          <w:rFonts w:cs="Times New Roman"/>
        </w:rPr>
        <w:instrText xml:space="preserve"> PAGEREF _Toc6985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26"/>
        <w:tabs>
          <w:tab w:val="right" w:leader="dot" w:pos="8306"/>
        </w:tabs>
        <w:spacing w:line="360" w:lineRule="auto"/>
        <w:rPr>
          <w:rFonts w:cs="Times New Roman"/>
        </w:rPr>
      </w:pPr>
      <w:r>
        <w:fldChar w:fldCharType="begin"/>
      </w:r>
      <w:r>
        <w:instrText xml:space="preserve"> HYPERLINK \l "_Toc14320" </w:instrText>
      </w:r>
      <w:r>
        <w:fldChar w:fldCharType="separate"/>
      </w:r>
      <w:r>
        <w:rPr>
          <w:rFonts w:cs="Times New Roman"/>
        </w:rPr>
        <w:t>2 建设项目所在地自然环境社会环境简况</w:t>
      </w:r>
      <w:r>
        <w:rPr>
          <w:rFonts w:cs="Times New Roman"/>
        </w:rPr>
        <w:tab/>
      </w:r>
      <w:r>
        <w:rPr>
          <w:rFonts w:cs="Times New Roman"/>
        </w:rPr>
        <w:fldChar w:fldCharType="begin"/>
      </w:r>
      <w:r>
        <w:rPr>
          <w:rFonts w:cs="Times New Roman"/>
        </w:rPr>
        <w:instrText xml:space="preserve"> PAGEREF _Toc14320 </w:instrText>
      </w:r>
      <w:r>
        <w:rPr>
          <w:rFonts w:cs="Times New Roman"/>
        </w:rPr>
        <w:fldChar w:fldCharType="separate"/>
      </w:r>
      <w:r>
        <w:rPr>
          <w:rFonts w:cs="Times New Roman"/>
        </w:rPr>
        <w:t>18</w:t>
      </w:r>
      <w:r>
        <w:rPr>
          <w:rFonts w:cs="Times New Roman"/>
        </w:rPr>
        <w:fldChar w:fldCharType="end"/>
      </w:r>
      <w:r>
        <w:rPr>
          <w:rFonts w:cs="Times New Roman"/>
        </w:rPr>
        <w:fldChar w:fldCharType="end"/>
      </w:r>
    </w:p>
    <w:p>
      <w:pPr>
        <w:pStyle w:val="26"/>
        <w:tabs>
          <w:tab w:val="right" w:leader="dot" w:pos="8306"/>
        </w:tabs>
        <w:spacing w:line="360" w:lineRule="auto"/>
        <w:rPr>
          <w:rFonts w:cs="Times New Roman"/>
        </w:rPr>
      </w:pPr>
      <w:r>
        <w:fldChar w:fldCharType="begin"/>
      </w:r>
      <w:r>
        <w:instrText xml:space="preserve"> HYPERLINK \l "_Toc14411" </w:instrText>
      </w:r>
      <w:r>
        <w:fldChar w:fldCharType="separate"/>
      </w:r>
      <w:r>
        <w:rPr>
          <w:rFonts w:cs="Times New Roman"/>
        </w:rPr>
        <w:t>3 项目环境质量状况</w:t>
      </w:r>
      <w:r>
        <w:rPr>
          <w:rFonts w:cs="Times New Roman"/>
        </w:rPr>
        <w:tab/>
      </w:r>
      <w:r>
        <w:rPr>
          <w:rFonts w:cs="Times New Roman"/>
        </w:rPr>
        <w:fldChar w:fldCharType="begin"/>
      </w:r>
      <w:r>
        <w:rPr>
          <w:rFonts w:cs="Times New Roman"/>
        </w:rPr>
        <w:instrText xml:space="preserve"> PAGEREF _Toc14411 </w:instrText>
      </w:r>
      <w:r>
        <w:rPr>
          <w:rFonts w:cs="Times New Roman"/>
        </w:rPr>
        <w:fldChar w:fldCharType="separate"/>
      </w:r>
      <w:r>
        <w:rPr>
          <w:rFonts w:cs="Times New Roman"/>
        </w:rPr>
        <w:t>27</w:t>
      </w:r>
      <w:r>
        <w:rPr>
          <w:rFonts w:cs="Times New Roman"/>
        </w:rPr>
        <w:fldChar w:fldCharType="end"/>
      </w:r>
      <w:r>
        <w:rPr>
          <w:rFonts w:cs="Times New Roman"/>
        </w:rPr>
        <w:fldChar w:fldCharType="end"/>
      </w:r>
    </w:p>
    <w:p>
      <w:pPr>
        <w:pStyle w:val="26"/>
        <w:tabs>
          <w:tab w:val="right" w:leader="dot" w:pos="8306"/>
        </w:tabs>
        <w:spacing w:line="360" w:lineRule="auto"/>
        <w:rPr>
          <w:rFonts w:cs="Times New Roman"/>
        </w:rPr>
      </w:pPr>
      <w:r>
        <w:fldChar w:fldCharType="begin"/>
      </w:r>
      <w:r>
        <w:instrText xml:space="preserve"> HYPERLINK \l "_Toc25781" </w:instrText>
      </w:r>
      <w:r>
        <w:fldChar w:fldCharType="separate"/>
      </w:r>
      <w:r>
        <w:rPr>
          <w:rFonts w:cs="Times New Roman"/>
        </w:rPr>
        <w:t>4 评价适用标准</w:t>
      </w:r>
      <w:r>
        <w:rPr>
          <w:rFonts w:cs="Times New Roman"/>
        </w:rPr>
        <w:tab/>
      </w:r>
      <w:r>
        <w:rPr>
          <w:rFonts w:cs="Times New Roman"/>
        </w:rPr>
        <w:fldChar w:fldCharType="begin"/>
      </w:r>
      <w:r>
        <w:rPr>
          <w:rFonts w:cs="Times New Roman"/>
        </w:rPr>
        <w:instrText xml:space="preserve"> PAGEREF _Toc25781 </w:instrText>
      </w:r>
      <w:r>
        <w:rPr>
          <w:rFonts w:cs="Times New Roman"/>
        </w:rPr>
        <w:fldChar w:fldCharType="separate"/>
      </w:r>
      <w:r>
        <w:rPr>
          <w:rFonts w:cs="Times New Roman"/>
        </w:rPr>
        <w:t>37</w:t>
      </w:r>
      <w:r>
        <w:rPr>
          <w:rFonts w:cs="Times New Roman"/>
        </w:rPr>
        <w:fldChar w:fldCharType="end"/>
      </w:r>
      <w:r>
        <w:rPr>
          <w:rFonts w:cs="Times New Roman"/>
        </w:rPr>
        <w:fldChar w:fldCharType="end"/>
      </w:r>
    </w:p>
    <w:p>
      <w:pPr>
        <w:pStyle w:val="26"/>
        <w:tabs>
          <w:tab w:val="right" w:leader="dot" w:pos="8306"/>
        </w:tabs>
        <w:spacing w:line="360" w:lineRule="auto"/>
        <w:rPr>
          <w:rFonts w:cs="Times New Roman"/>
        </w:rPr>
      </w:pPr>
      <w:r>
        <w:fldChar w:fldCharType="begin"/>
      </w:r>
      <w:r>
        <w:instrText xml:space="preserve"> HYPERLINK \l "_Toc1460" </w:instrText>
      </w:r>
      <w:r>
        <w:fldChar w:fldCharType="separate"/>
      </w:r>
      <w:r>
        <w:rPr>
          <w:rFonts w:cs="Times New Roman"/>
        </w:rPr>
        <w:t>5 建设项目工程分析</w:t>
      </w:r>
      <w:r>
        <w:rPr>
          <w:rFonts w:cs="Times New Roman"/>
        </w:rPr>
        <w:tab/>
      </w:r>
      <w:r>
        <w:rPr>
          <w:rFonts w:cs="Times New Roman"/>
        </w:rPr>
        <w:fldChar w:fldCharType="begin"/>
      </w:r>
      <w:r>
        <w:rPr>
          <w:rFonts w:cs="Times New Roman"/>
        </w:rPr>
        <w:instrText xml:space="preserve"> PAGEREF _Toc1460 </w:instrText>
      </w:r>
      <w:r>
        <w:rPr>
          <w:rFonts w:cs="Times New Roman"/>
        </w:rPr>
        <w:fldChar w:fldCharType="separate"/>
      </w:r>
      <w:r>
        <w:rPr>
          <w:rFonts w:cs="Times New Roman"/>
        </w:rPr>
        <w:t>41</w:t>
      </w:r>
      <w:r>
        <w:rPr>
          <w:rFonts w:cs="Times New Roman"/>
        </w:rPr>
        <w:fldChar w:fldCharType="end"/>
      </w:r>
      <w:r>
        <w:rPr>
          <w:rFonts w:cs="Times New Roman"/>
        </w:rPr>
        <w:fldChar w:fldCharType="end"/>
      </w:r>
    </w:p>
    <w:p>
      <w:pPr>
        <w:pStyle w:val="26"/>
        <w:tabs>
          <w:tab w:val="right" w:leader="dot" w:pos="8306"/>
        </w:tabs>
        <w:spacing w:line="360" w:lineRule="auto"/>
        <w:rPr>
          <w:rFonts w:cs="Times New Roman"/>
        </w:rPr>
      </w:pPr>
      <w:r>
        <w:fldChar w:fldCharType="begin"/>
      </w:r>
      <w:r>
        <w:instrText xml:space="preserve"> HYPERLINK \l "_Toc25585" </w:instrText>
      </w:r>
      <w:r>
        <w:fldChar w:fldCharType="separate"/>
      </w:r>
      <w:r>
        <w:rPr>
          <w:rFonts w:cs="Times New Roman"/>
        </w:rPr>
        <w:t>6 项目主要污染物产生及预计排放情况</w:t>
      </w:r>
      <w:r>
        <w:rPr>
          <w:rFonts w:cs="Times New Roman"/>
        </w:rPr>
        <w:tab/>
      </w:r>
      <w:r>
        <w:rPr>
          <w:rFonts w:cs="Times New Roman"/>
        </w:rPr>
        <w:fldChar w:fldCharType="begin"/>
      </w:r>
      <w:r>
        <w:rPr>
          <w:rFonts w:cs="Times New Roman"/>
        </w:rPr>
        <w:instrText xml:space="preserve"> PAGEREF _Toc25585 </w:instrText>
      </w:r>
      <w:r>
        <w:rPr>
          <w:rFonts w:cs="Times New Roman"/>
        </w:rPr>
        <w:fldChar w:fldCharType="separate"/>
      </w:r>
      <w:r>
        <w:rPr>
          <w:rFonts w:cs="Times New Roman"/>
        </w:rPr>
        <w:t>55</w:t>
      </w:r>
      <w:r>
        <w:rPr>
          <w:rFonts w:cs="Times New Roman"/>
        </w:rPr>
        <w:fldChar w:fldCharType="end"/>
      </w:r>
      <w:r>
        <w:rPr>
          <w:rFonts w:cs="Times New Roman"/>
        </w:rPr>
        <w:fldChar w:fldCharType="end"/>
      </w:r>
    </w:p>
    <w:p>
      <w:pPr>
        <w:pStyle w:val="26"/>
        <w:tabs>
          <w:tab w:val="right" w:leader="dot" w:pos="8306"/>
        </w:tabs>
        <w:spacing w:line="360" w:lineRule="auto"/>
        <w:rPr>
          <w:rFonts w:cs="Times New Roman"/>
        </w:rPr>
      </w:pPr>
      <w:r>
        <w:fldChar w:fldCharType="begin"/>
      </w:r>
      <w:r>
        <w:instrText xml:space="preserve"> HYPERLINK \l "_Toc10682" </w:instrText>
      </w:r>
      <w:r>
        <w:fldChar w:fldCharType="separate"/>
      </w:r>
      <w:r>
        <w:rPr>
          <w:rFonts w:cs="Times New Roman"/>
        </w:rPr>
        <w:t>7 环境影响分析</w:t>
      </w:r>
      <w:r>
        <w:rPr>
          <w:rFonts w:cs="Times New Roman"/>
        </w:rPr>
        <w:tab/>
      </w:r>
      <w:r>
        <w:rPr>
          <w:rFonts w:cs="Times New Roman"/>
        </w:rPr>
        <w:fldChar w:fldCharType="begin"/>
      </w:r>
      <w:r>
        <w:rPr>
          <w:rFonts w:cs="Times New Roman"/>
        </w:rPr>
        <w:instrText xml:space="preserve"> PAGEREF _Toc10682 </w:instrText>
      </w:r>
      <w:r>
        <w:rPr>
          <w:rFonts w:cs="Times New Roman"/>
        </w:rPr>
        <w:fldChar w:fldCharType="separate"/>
      </w:r>
      <w:r>
        <w:rPr>
          <w:rFonts w:cs="Times New Roman"/>
        </w:rPr>
        <w:t>57</w:t>
      </w:r>
      <w:r>
        <w:rPr>
          <w:rFonts w:cs="Times New Roman"/>
        </w:rPr>
        <w:fldChar w:fldCharType="end"/>
      </w:r>
      <w:r>
        <w:rPr>
          <w:rFonts w:cs="Times New Roman"/>
        </w:rPr>
        <w:fldChar w:fldCharType="end"/>
      </w:r>
    </w:p>
    <w:p>
      <w:pPr>
        <w:pStyle w:val="26"/>
        <w:tabs>
          <w:tab w:val="right" w:leader="dot" w:pos="8306"/>
        </w:tabs>
        <w:spacing w:line="360" w:lineRule="auto"/>
        <w:rPr>
          <w:rFonts w:cs="Times New Roman"/>
        </w:rPr>
      </w:pPr>
      <w:r>
        <w:fldChar w:fldCharType="begin"/>
      </w:r>
      <w:r>
        <w:instrText xml:space="preserve"> HYPERLINK \l "_Toc2645" </w:instrText>
      </w:r>
      <w:r>
        <w:fldChar w:fldCharType="separate"/>
      </w:r>
      <w:r>
        <w:rPr>
          <w:rFonts w:cs="Times New Roman"/>
        </w:rPr>
        <w:t>8 建设项目拟采取的防治措施及预期治理效果</w:t>
      </w:r>
      <w:r>
        <w:rPr>
          <w:rFonts w:cs="Times New Roman"/>
        </w:rPr>
        <w:tab/>
      </w:r>
      <w:r>
        <w:rPr>
          <w:rFonts w:cs="Times New Roman"/>
        </w:rPr>
        <w:fldChar w:fldCharType="begin"/>
      </w:r>
      <w:r>
        <w:rPr>
          <w:rFonts w:cs="Times New Roman"/>
        </w:rPr>
        <w:instrText xml:space="preserve"> PAGEREF _Toc2645 </w:instrText>
      </w:r>
      <w:r>
        <w:rPr>
          <w:rFonts w:cs="Times New Roman"/>
        </w:rPr>
        <w:fldChar w:fldCharType="separate"/>
      </w:r>
      <w:r>
        <w:rPr>
          <w:rFonts w:cs="Times New Roman"/>
        </w:rPr>
        <w:t>96</w:t>
      </w:r>
      <w:r>
        <w:rPr>
          <w:rFonts w:cs="Times New Roman"/>
        </w:rPr>
        <w:fldChar w:fldCharType="end"/>
      </w:r>
      <w:r>
        <w:rPr>
          <w:rFonts w:cs="Times New Roman"/>
        </w:rPr>
        <w:fldChar w:fldCharType="end"/>
      </w:r>
    </w:p>
    <w:p>
      <w:pPr>
        <w:pStyle w:val="26"/>
        <w:tabs>
          <w:tab w:val="right" w:leader="dot" w:pos="8306"/>
        </w:tabs>
        <w:spacing w:line="360" w:lineRule="auto"/>
        <w:rPr>
          <w:rFonts w:cs="Times New Roman"/>
        </w:rPr>
      </w:pPr>
      <w:r>
        <w:fldChar w:fldCharType="begin"/>
      </w:r>
      <w:r>
        <w:instrText xml:space="preserve"> HYPERLINK \l "_Toc6226" </w:instrText>
      </w:r>
      <w:r>
        <w:fldChar w:fldCharType="separate"/>
      </w:r>
      <w:r>
        <w:rPr>
          <w:rFonts w:cs="Times New Roman"/>
        </w:rPr>
        <w:t>9 结论与建议</w:t>
      </w:r>
      <w:r>
        <w:rPr>
          <w:rFonts w:cs="Times New Roman"/>
        </w:rPr>
        <w:tab/>
      </w:r>
      <w:r>
        <w:rPr>
          <w:rFonts w:cs="Times New Roman"/>
        </w:rPr>
        <w:fldChar w:fldCharType="begin"/>
      </w:r>
      <w:r>
        <w:rPr>
          <w:rFonts w:cs="Times New Roman"/>
        </w:rPr>
        <w:instrText xml:space="preserve"> PAGEREF _Toc6226 </w:instrText>
      </w:r>
      <w:r>
        <w:rPr>
          <w:rFonts w:cs="Times New Roman"/>
        </w:rPr>
        <w:fldChar w:fldCharType="separate"/>
      </w:r>
      <w:r>
        <w:rPr>
          <w:rFonts w:cs="Times New Roman"/>
        </w:rPr>
        <w:t>98</w:t>
      </w:r>
      <w:r>
        <w:rPr>
          <w:rFonts w:cs="Times New Roman"/>
        </w:rPr>
        <w:fldChar w:fldCharType="end"/>
      </w:r>
      <w:r>
        <w:rPr>
          <w:rFonts w:cs="Times New Roman"/>
        </w:rPr>
        <w:fldChar w:fldCharType="end"/>
      </w:r>
    </w:p>
    <w:p>
      <w:pPr>
        <w:widowControl/>
        <w:spacing w:line="360" w:lineRule="auto"/>
        <w:rPr>
          <w:rFonts w:cs="Times New Roman"/>
          <w:b/>
          <w:color w:val="000000" w:themeColor="text1"/>
          <w:sz w:val="21"/>
        </w:rPr>
      </w:pPr>
      <w:r>
        <w:rPr>
          <w:rFonts w:cs="Times New Roman"/>
          <w:color w:val="000000" w:themeColor="text1"/>
          <w:szCs w:val="30"/>
        </w:rPr>
        <w:fldChar w:fldCharType="end"/>
      </w:r>
      <w:r>
        <w:rPr>
          <w:rFonts w:cs="Times New Roman"/>
          <w:b/>
          <w:color w:val="000000" w:themeColor="text1"/>
          <w:sz w:val="21"/>
        </w:rPr>
        <w:t>附件：</w:t>
      </w:r>
    </w:p>
    <w:p>
      <w:pPr>
        <w:widowControl/>
        <w:ind w:firstLine="617" w:firstLineChars="294"/>
        <w:rPr>
          <w:rFonts w:cs="Times New Roman"/>
          <w:color w:val="000000" w:themeColor="text1"/>
          <w:sz w:val="21"/>
        </w:rPr>
      </w:pPr>
      <w:r>
        <w:rPr>
          <w:rFonts w:cs="Times New Roman"/>
          <w:color w:val="000000" w:themeColor="text1"/>
          <w:sz w:val="21"/>
        </w:rPr>
        <w:t>附件1  环境影响评价委托书</w:t>
      </w:r>
    </w:p>
    <w:p>
      <w:pPr>
        <w:widowControl/>
        <w:ind w:firstLine="630" w:firstLineChars="300"/>
        <w:rPr>
          <w:rFonts w:cs="Times New Roman"/>
          <w:color w:val="000000" w:themeColor="text1"/>
          <w:sz w:val="21"/>
        </w:rPr>
      </w:pPr>
      <w:r>
        <w:rPr>
          <w:rFonts w:cs="Times New Roman"/>
          <w:color w:val="000000" w:themeColor="text1"/>
          <w:sz w:val="21"/>
        </w:rPr>
        <w:t>附件2  营业执照</w:t>
      </w:r>
    </w:p>
    <w:p>
      <w:pPr>
        <w:widowControl/>
        <w:ind w:firstLine="630" w:firstLineChars="300"/>
        <w:rPr>
          <w:rFonts w:cs="Times New Roman"/>
          <w:color w:val="000000" w:themeColor="text1"/>
          <w:sz w:val="21"/>
        </w:rPr>
      </w:pPr>
      <w:r>
        <w:rPr>
          <w:rFonts w:cs="Times New Roman"/>
          <w:color w:val="000000" w:themeColor="text1"/>
          <w:sz w:val="21"/>
        </w:rPr>
        <w:t>附件3  招商合同协议书</w:t>
      </w:r>
    </w:p>
    <w:p>
      <w:pPr>
        <w:widowControl/>
        <w:ind w:firstLine="630" w:firstLineChars="300"/>
        <w:rPr>
          <w:rFonts w:cs="Times New Roman"/>
          <w:color w:val="000000" w:themeColor="text1"/>
          <w:sz w:val="21"/>
        </w:rPr>
      </w:pPr>
      <w:r>
        <w:rPr>
          <w:rFonts w:cs="Times New Roman"/>
          <w:color w:val="000000" w:themeColor="text1"/>
          <w:sz w:val="21"/>
        </w:rPr>
        <w:t>附件4  备案证明</w:t>
      </w:r>
    </w:p>
    <w:p>
      <w:pPr>
        <w:widowControl/>
        <w:ind w:firstLine="630" w:firstLineChars="300"/>
        <w:rPr>
          <w:rFonts w:cs="Times New Roman"/>
          <w:color w:val="000000" w:themeColor="text1"/>
          <w:sz w:val="21"/>
        </w:rPr>
      </w:pPr>
      <w:r>
        <w:rPr>
          <w:rFonts w:cs="Times New Roman"/>
          <w:color w:val="000000" w:themeColor="text1"/>
          <w:sz w:val="21"/>
        </w:rPr>
        <w:t>附件5  环境质量现状监测质量保证单和监测报告</w:t>
      </w:r>
    </w:p>
    <w:p>
      <w:pPr>
        <w:widowControl/>
        <w:ind w:firstLine="630" w:firstLineChars="300"/>
        <w:rPr>
          <w:rFonts w:cs="Times New Roman"/>
          <w:color w:val="000000" w:themeColor="text1"/>
          <w:sz w:val="21"/>
        </w:rPr>
      </w:pPr>
      <w:r>
        <w:rPr>
          <w:rFonts w:cs="Times New Roman"/>
          <w:color w:val="000000" w:themeColor="text1"/>
          <w:sz w:val="21"/>
        </w:rPr>
        <w:t>附件6  引用数据环境质量现状监测质量保证单和监测报告</w:t>
      </w:r>
    </w:p>
    <w:p>
      <w:pPr>
        <w:widowControl/>
        <w:ind w:firstLine="630" w:firstLineChars="300"/>
        <w:rPr>
          <w:rFonts w:cs="Times New Roman"/>
          <w:color w:val="000000" w:themeColor="text1"/>
          <w:sz w:val="21"/>
          <w:u w:val="single"/>
        </w:rPr>
      </w:pPr>
      <w:r>
        <w:rPr>
          <w:rFonts w:cs="Times New Roman"/>
          <w:color w:val="000000" w:themeColor="text1"/>
          <w:sz w:val="21"/>
          <w:u w:val="single"/>
        </w:rPr>
        <w:t>附件7  矿粉成分监测单</w:t>
      </w:r>
    </w:p>
    <w:p>
      <w:pPr>
        <w:pStyle w:val="2"/>
        <w:ind w:firstLine="630" w:firstLineChars="300"/>
        <w:rPr>
          <w:rFonts w:cs="Times New Roman"/>
          <w:u w:val="single"/>
        </w:rPr>
      </w:pPr>
      <w:r>
        <w:rPr>
          <w:rFonts w:cs="Times New Roman"/>
          <w:color w:val="000000" w:themeColor="text1"/>
          <w:sz w:val="21"/>
          <w:u w:val="single"/>
        </w:rPr>
        <w:t>附件8  关于湖南城陵矶临港产业新区产业核心区环境影响报告书的批复</w:t>
      </w:r>
    </w:p>
    <w:p>
      <w:pPr>
        <w:widowControl/>
        <w:rPr>
          <w:rFonts w:cs="Times New Roman"/>
          <w:b/>
          <w:color w:val="000000" w:themeColor="text1"/>
          <w:sz w:val="21"/>
        </w:rPr>
      </w:pPr>
      <w:r>
        <w:rPr>
          <w:rFonts w:cs="Times New Roman"/>
          <w:b/>
          <w:color w:val="000000" w:themeColor="text1"/>
          <w:sz w:val="21"/>
        </w:rPr>
        <w:t>附图：</w:t>
      </w:r>
    </w:p>
    <w:p>
      <w:pPr>
        <w:widowControl/>
        <w:ind w:firstLine="617" w:firstLineChars="294"/>
        <w:rPr>
          <w:rFonts w:cs="Times New Roman"/>
          <w:color w:val="000000" w:themeColor="text1"/>
          <w:sz w:val="21"/>
        </w:rPr>
      </w:pPr>
      <w:r>
        <w:rPr>
          <w:rFonts w:cs="Times New Roman"/>
          <w:color w:val="000000" w:themeColor="text1"/>
          <w:sz w:val="21"/>
        </w:rPr>
        <w:t>附图1  项目地理位置图</w:t>
      </w:r>
    </w:p>
    <w:p>
      <w:pPr>
        <w:widowControl/>
        <w:ind w:firstLine="630" w:firstLineChars="300"/>
        <w:rPr>
          <w:rFonts w:cs="Times New Roman"/>
          <w:color w:val="000000" w:themeColor="text1"/>
          <w:sz w:val="21"/>
        </w:rPr>
      </w:pPr>
      <w:r>
        <w:rPr>
          <w:rFonts w:cs="Times New Roman"/>
          <w:color w:val="000000" w:themeColor="text1"/>
          <w:sz w:val="21"/>
        </w:rPr>
        <w:t>附图2  项目平面布置示意图</w:t>
      </w:r>
    </w:p>
    <w:p>
      <w:pPr>
        <w:widowControl/>
        <w:ind w:firstLine="630" w:firstLineChars="300"/>
        <w:rPr>
          <w:rFonts w:cs="Times New Roman"/>
          <w:color w:val="000000" w:themeColor="text1"/>
          <w:sz w:val="21"/>
        </w:rPr>
      </w:pPr>
      <w:r>
        <w:rPr>
          <w:rFonts w:cs="Times New Roman"/>
          <w:color w:val="000000" w:themeColor="text1"/>
          <w:sz w:val="21"/>
        </w:rPr>
        <w:t>附图3  环境保护目标图</w:t>
      </w:r>
    </w:p>
    <w:p>
      <w:pPr>
        <w:widowControl/>
        <w:ind w:firstLine="630" w:firstLineChars="300"/>
        <w:rPr>
          <w:rFonts w:cs="Times New Roman"/>
          <w:color w:val="000000" w:themeColor="text1"/>
          <w:sz w:val="21"/>
        </w:rPr>
      </w:pPr>
      <w:r>
        <w:rPr>
          <w:rFonts w:cs="Times New Roman"/>
          <w:color w:val="000000" w:themeColor="text1"/>
          <w:sz w:val="21"/>
        </w:rPr>
        <w:t>附图4  大气特征因子TSP引用点位与本项目位置关系图</w:t>
      </w:r>
    </w:p>
    <w:p>
      <w:pPr>
        <w:widowControl/>
        <w:ind w:firstLine="630" w:firstLineChars="300"/>
        <w:rPr>
          <w:rFonts w:cs="Times New Roman"/>
          <w:color w:val="000000" w:themeColor="text1"/>
          <w:sz w:val="21"/>
        </w:rPr>
      </w:pPr>
      <w:r>
        <w:rPr>
          <w:rFonts w:cs="Times New Roman"/>
          <w:color w:val="000000" w:themeColor="text1"/>
          <w:sz w:val="21"/>
        </w:rPr>
        <w:t>附图5  环境质量现状监测布点图</w:t>
      </w:r>
    </w:p>
    <w:p>
      <w:pPr>
        <w:widowControl/>
        <w:ind w:firstLine="630" w:firstLineChars="300"/>
        <w:rPr>
          <w:rFonts w:cs="Times New Roman"/>
          <w:color w:val="000000" w:themeColor="text1"/>
          <w:sz w:val="21"/>
        </w:rPr>
      </w:pPr>
      <w:r>
        <w:rPr>
          <w:rFonts w:cs="Times New Roman"/>
          <w:color w:val="000000" w:themeColor="text1"/>
          <w:sz w:val="21"/>
        </w:rPr>
        <w:t>附图6  污水管网与本项目位置关系图</w:t>
      </w:r>
    </w:p>
    <w:p>
      <w:pPr>
        <w:widowControl/>
        <w:ind w:firstLine="630" w:firstLineChars="300"/>
        <w:rPr>
          <w:rFonts w:cs="Times New Roman"/>
          <w:color w:val="000000" w:themeColor="text1"/>
          <w:sz w:val="21"/>
        </w:rPr>
      </w:pPr>
      <w:r>
        <w:rPr>
          <w:rFonts w:cs="Times New Roman"/>
          <w:color w:val="000000" w:themeColor="text1"/>
          <w:sz w:val="21"/>
        </w:rPr>
        <w:t>附图7  本项目用地周边环境现状图</w:t>
      </w:r>
    </w:p>
    <w:p>
      <w:pPr>
        <w:pStyle w:val="2"/>
        <w:spacing w:after="0"/>
        <w:ind w:firstLine="630" w:firstLineChars="300"/>
        <w:rPr>
          <w:rFonts w:cs="Times New Roman"/>
          <w:color w:val="000000" w:themeColor="text1"/>
          <w:sz w:val="21"/>
          <w:u w:val="single"/>
        </w:rPr>
      </w:pPr>
      <w:r>
        <w:rPr>
          <w:rFonts w:hint="eastAsia" w:cs="Times New Roman"/>
          <w:color w:val="000000" w:themeColor="text1"/>
          <w:sz w:val="21"/>
          <w:u w:val="single"/>
        </w:rPr>
        <w:t>附图8  本项目与城陵矶临港产业新区总体规划位置关系图</w:t>
      </w:r>
    </w:p>
    <w:p>
      <w:pPr>
        <w:widowControl/>
        <w:ind w:firstLine="630" w:firstLineChars="300"/>
        <w:rPr>
          <w:rFonts w:cs="Times New Roman"/>
          <w:color w:val="000000" w:themeColor="text1"/>
          <w:sz w:val="21"/>
          <w:u w:val="single"/>
        </w:rPr>
      </w:pPr>
      <w:r>
        <w:rPr>
          <w:rFonts w:hint="eastAsia" w:cs="Times New Roman"/>
          <w:color w:val="000000" w:themeColor="text1"/>
          <w:sz w:val="21"/>
          <w:u w:val="single"/>
        </w:rPr>
        <w:t>附图9  本项目与岳阳市城市规划区山体水体保护位置关系图</w:t>
      </w:r>
    </w:p>
    <w:p>
      <w:pPr>
        <w:pStyle w:val="2"/>
        <w:ind w:firstLine="630" w:firstLineChars="300"/>
        <w:rPr>
          <w:u w:val="single"/>
        </w:rPr>
      </w:pPr>
      <w:r>
        <w:rPr>
          <w:rFonts w:hint="eastAsia" w:cs="Times New Roman"/>
          <w:color w:val="000000" w:themeColor="text1"/>
          <w:sz w:val="21"/>
          <w:u w:val="single"/>
        </w:rPr>
        <w:t>附图10 本项目污水走向图</w:t>
      </w:r>
    </w:p>
    <w:p>
      <w:pPr>
        <w:widowControl/>
        <w:rPr>
          <w:rFonts w:cs="Times New Roman"/>
          <w:b/>
          <w:color w:val="000000" w:themeColor="text1"/>
          <w:sz w:val="21"/>
        </w:rPr>
      </w:pPr>
      <w:r>
        <w:rPr>
          <w:rFonts w:cs="Times New Roman"/>
          <w:b/>
          <w:color w:val="000000" w:themeColor="text1"/>
          <w:sz w:val="21"/>
        </w:rPr>
        <w:t>附表</w:t>
      </w:r>
    </w:p>
    <w:p>
      <w:pPr>
        <w:widowControl/>
        <w:ind w:firstLine="630" w:firstLineChars="300"/>
        <w:rPr>
          <w:rFonts w:cs="Times New Roman"/>
          <w:color w:val="000000" w:themeColor="text1"/>
          <w:sz w:val="21"/>
        </w:rPr>
      </w:pPr>
      <w:r>
        <w:rPr>
          <w:rFonts w:cs="Times New Roman"/>
          <w:color w:val="000000" w:themeColor="text1"/>
          <w:sz w:val="21"/>
        </w:rPr>
        <w:t>附表1 建设项目审批登记表</w:t>
      </w:r>
    </w:p>
    <w:p>
      <w:pPr>
        <w:widowControl/>
        <w:ind w:firstLine="630" w:firstLineChars="300"/>
        <w:rPr>
          <w:rFonts w:cs="Times New Roman"/>
          <w:color w:val="000000" w:themeColor="text1"/>
          <w:sz w:val="21"/>
        </w:rPr>
      </w:pPr>
      <w:r>
        <w:rPr>
          <w:rFonts w:cs="Times New Roman"/>
          <w:color w:val="000000" w:themeColor="text1"/>
          <w:sz w:val="21"/>
        </w:rPr>
        <w:t>附表2 建设项目大气环境影响评价自查表</w:t>
      </w:r>
    </w:p>
    <w:p>
      <w:pPr>
        <w:widowControl/>
        <w:ind w:firstLine="630" w:firstLineChars="300"/>
        <w:rPr>
          <w:rFonts w:cs="Times New Roman"/>
          <w:color w:val="000000" w:themeColor="text1"/>
          <w:sz w:val="21"/>
        </w:rPr>
      </w:pPr>
      <w:r>
        <w:rPr>
          <w:rFonts w:cs="Times New Roman"/>
          <w:color w:val="000000" w:themeColor="text1"/>
          <w:sz w:val="21"/>
        </w:rPr>
        <w:t>附表3 地表水环境影响评价自查表</w:t>
      </w:r>
    </w:p>
    <w:p>
      <w:pPr>
        <w:pStyle w:val="2"/>
        <w:ind w:firstLine="630" w:firstLineChars="300"/>
        <w:rPr>
          <w:rFonts w:cs="Times New Roman"/>
          <w:color w:val="000000" w:themeColor="text1"/>
          <w:sz w:val="21"/>
        </w:rPr>
      </w:pPr>
      <w:r>
        <w:rPr>
          <w:rFonts w:cs="Times New Roman"/>
          <w:color w:val="000000" w:themeColor="text1"/>
          <w:sz w:val="21"/>
        </w:rPr>
        <w:t>附表4 环境风险评价自查表</w:t>
      </w:r>
    </w:p>
    <w:p>
      <w:pPr>
        <w:pStyle w:val="4"/>
        <w:rPr>
          <w:rFonts w:cs="Times New Roman" w:eastAsiaTheme="minorEastAsia"/>
          <w:color w:val="000000" w:themeColor="text1"/>
        </w:rPr>
        <w:sectPr>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0" w:name="_Toc6985"/>
    </w:p>
    <w:p>
      <w:pPr>
        <w:pStyle w:val="4"/>
        <w:rPr>
          <w:rFonts w:cs="Times New Roman" w:eastAsiaTheme="minorEastAsia"/>
          <w:color w:val="000000" w:themeColor="text1"/>
        </w:rPr>
      </w:pPr>
      <w:r>
        <w:rPr>
          <w:rFonts w:cs="Times New Roman" w:eastAsiaTheme="minorEastAsia"/>
          <w:color w:val="000000" w:themeColor="text1"/>
        </w:rPr>
        <w:t>建设项目基本情况</w:t>
      </w:r>
      <w:bookmarkEnd w:id="0"/>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996"/>
        <w:gridCol w:w="1028"/>
        <w:gridCol w:w="476"/>
        <w:gridCol w:w="1342"/>
        <w:gridCol w:w="123"/>
        <w:gridCol w:w="1280"/>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947" w:type="pct"/>
            <w:vAlign w:val="center"/>
          </w:tcPr>
          <w:p>
            <w:pPr>
              <w:jc w:val="center"/>
              <w:rPr>
                <w:rFonts w:cs="Times New Roman"/>
                <w:color w:val="000000" w:themeColor="text1"/>
              </w:rPr>
            </w:pPr>
            <w:r>
              <w:rPr>
                <w:rFonts w:cs="Times New Roman"/>
                <w:color w:val="000000" w:themeColor="text1"/>
              </w:rPr>
              <w:t>项目名称</w:t>
            </w:r>
          </w:p>
        </w:tc>
        <w:tc>
          <w:tcPr>
            <w:tcW w:w="4052" w:type="pct"/>
            <w:gridSpan w:val="7"/>
            <w:vAlign w:val="center"/>
          </w:tcPr>
          <w:p>
            <w:pPr>
              <w:jc w:val="center"/>
              <w:rPr>
                <w:rFonts w:cs="Times New Roman"/>
                <w:color w:val="000000" w:themeColor="text1"/>
                <w:szCs w:val="24"/>
              </w:rPr>
            </w:pPr>
            <w:r>
              <w:rPr>
                <w:rFonts w:cs="Times New Roman"/>
                <w:color w:val="000000" w:themeColor="text1"/>
                <w:szCs w:val="24"/>
              </w:rPr>
              <w:t>宏源分公司异地搬迁项目(90万m</w:t>
            </w:r>
            <w:r>
              <w:rPr>
                <w:rFonts w:cs="Times New Roman"/>
                <w:color w:val="000000" w:themeColor="text1"/>
                <w:szCs w:val="24"/>
                <w:vertAlign w:val="superscript"/>
              </w:rPr>
              <w:t>3</w:t>
            </w:r>
            <w:r>
              <w:rPr>
                <w:rFonts w:cs="Times New Roman"/>
                <w:color w:val="000000" w:themeColor="text1"/>
                <w:szCs w:val="24"/>
              </w:rPr>
              <w:t>/年商品混凝土)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947" w:type="pct"/>
            <w:vAlign w:val="center"/>
          </w:tcPr>
          <w:p>
            <w:pPr>
              <w:jc w:val="center"/>
              <w:rPr>
                <w:rFonts w:cs="Times New Roman"/>
                <w:color w:val="000000" w:themeColor="text1"/>
              </w:rPr>
            </w:pPr>
            <w:r>
              <w:rPr>
                <w:rFonts w:cs="Times New Roman"/>
                <w:color w:val="000000" w:themeColor="text1"/>
              </w:rPr>
              <w:t>建设单位</w:t>
            </w:r>
          </w:p>
        </w:tc>
        <w:tc>
          <w:tcPr>
            <w:tcW w:w="4052" w:type="pct"/>
            <w:gridSpan w:val="7"/>
            <w:vAlign w:val="center"/>
          </w:tcPr>
          <w:p>
            <w:pPr>
              <w:jc w:val="center"/>
              <w:rPr>
                <w:rFonts w:cs="Times New Roman"/>
                <w:color w:val="000000" w:themeColor="text1"/>
              </w:rPr>
            </w:pPr>
            <w:r>
              <w:rPr>
                <w:rFonts w:cs="Times New Roman"/>
                <w:color w:val="36363D"/>
              </w:rPr>
              <w:t>湖南岳阳南方新材料科技有限公司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947" w:type="pct"/>
            <w:vAlign w:val="center"/>
          </w:tcPr>
          <w:p>
            <w:pPr>
              <w:jc w:val="center"/>
              <w:rPr>
                <w:rFonts w:cs="Times New Roman"/>
                <w:color w:val="000000" w:themeColor="text1"/>
              </w:rPr>
            </w:pPr>
            <w:r>
              <w:rPr>
                <w:rFonts w:cs="Times New Roman"/>
                <w:color w:val="000000" w:themeColor="text1"/>
              </w:rPr>
              <w:t>法人代表</w:t>
            </w:r>
          </w:p>
        </w:tc>
        <w:tc>
          <w:tcPr>
            <w:tcW w:w="1466" w:type="pct"/>
            <w:gridSpan w:val="3"/>
            <w:vAlign w:val="center"/>
          </w:tcPr>
          <w:p>
            <w:pPr>
              <w:jc w:val="center"/>
              <w:rPr>
                <w:rFonts w:cs="Times New Roman"/>
                <w:color w:val="000000" w:themeColor="text1"/>
              </w:rPr>
            </w:pPr>
            <w:r>
              <w:rPr>
                <w:rFonts w:cs="Times New Roman"/>
                <w:color w:val="000000" w:themeColor="text1"/>
              </w:rPr>
              <w:t>龙贤进</w:t>
            </w:r>
          </w:p>
        </w:tc>
        <w:tc>
          <w:tcPr>
            <w:tcW w:w="787" w:type="pct"/>
            <w:vAlign w:val="center"/>
          </w:tcPr>
          <w:p>
            <w:pPr>
              <w:jc w:val="center"/>
              <w:rPr>
                <w:rFonts w:cs="Times New Roman"/>
                <w:color w:val="000000" w:themeColor="text1"/>
              </w:rPr>
            </w:pPr>
            <w:r>
              <w:rPr>
                <w:rFonts w:cs="Times New Roman"/>
                <w:color w:val="000000" w:themeColor="text1"/>
                <w:spacing w:val="40"/>
              </w:rPr>
              <w:t>联系人</w:t>
            </w:r>
          </w:p>
        </w:tc>
        <w:tc>
          <w:tcPr>
            <w:tcW w:w="1798" w:type="pct"/>
            <w:gridSpan w:val="3"/>
            <w:vAlign w:val="center"/>
          </w:tcPr>
          <w:p>
            <w:pPr>
              <w:jc w:val="center"/>
              <w:rPr>
                <w:rFonts w:cs="Times New Roman"/>
                <w:color w:val="000000" w:themeColor="text1"/>
              </w:rPr>
            </w:pPr>
            <w:r>
              <w:rPr>
                <w:rFonts w:cs="Times New Roman"/>
                <w:color w:val="36363D"/>
              </w:rPr>
              <w:t>程敏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exact"/>
          <w:jc w:val="center"/>
        </w:trPr>
        <w:tc>
          <w:tcPr>
            <w:tcW w:w="947" w:type="pct"/>
            <w:vAlign w:val="center"/>
          </w:tcPr>
          <w:p>
            <w:pPr>
              <w:jc w:val="center"/>
              <w:rPr>
                <w:rFonts w:cs="Times New Roman"/>
                <w:color w:val="000000" w:themeColor="text1"/>
              </w:rPr>
            </w:pPr>
            <w:r>
              <w:rPr>
                <w:rFonts w:cs="Times New Roman"/>
                <w:color w:val="000000" w:themeColor="text1"/>
              </w:rPr>
              <w:t>通讯地址</w:t>
            </w:r>
          </w:p>
        </w:tc>
        <w:tc>
          <w:tcPr>
            <w:tcW w:w="4052" w:type="pct"/>
            <w:gridSpan w:val="7"/>
            <w:vAlign w:val="center"/>
          </w:tcPr>
          <w:p>
            <w:pPr>
              <w:jc w:val="center"/>
              <w:rPr>
                <w:rFonts w:cs="Times New Roman"/>
                <w:color w:val="000000" w:themeColor="text1"/>
              </w:rPr>
            </w:pPr>
            <w:r>
              <w:rPr>
                <w:rFonts w:cs="Times New Roman"/>
                <w:color w:val="36363D"/>
              </w:rPr>
              <w:t>岳阳市经济开发区金凤路监申桥工业园湖南岳阳南方新材料科技有限公司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947" w:type="pct"/>
            <w:vAlign w:val="center"/>
          </w:tcPr>
          <w:p>
            <w:pPr>
              <w:jc w:val="center"/>
              <w:rPr>
                <w:rFonts w:cs="Times New Roman"/>
                <w:color w:val="000000" w:themeColor="text1"/>
              </w:rPr>
            </w:pPr>
            <w:r>
              <w:rPr>
                <w:rFonts w:cs="Times New Roman"/>
                <w:color w:val="000000" w:themeColor="text1"/>
              </w:rPr>
              <w:t>联系电话</w:t>
            </w:r>
          </w:p>
        </w:tc>
        <w:tc>
          <w:tcPr>
            <w:tcW w:w="1187" w:type="pct"/>
            <w:gridSpan w:val="2"/>
            <w:vAlign w:val="center"/>
          </w:tcPr>
          <w:p>
            <w:pPr>
              <w:jc w:val="center"/>
              <w:rPr>
                <w:rFonts w:cs="Times New Roman"/>
                <w:color w:val="000000" w:themeColor="text1"/>
              </w:rPr>
            </w:pPr>
            <w:r>
              <w:rPr>
                <w:rFonts w:cs="Times New Roman"/>
                <w:color w:val="36363D"/>
              </w:rPr>
              <w:t>13507304178</w:t>
            </w:r>
          </w:p>
        </w:tc>
        <w:tc>
          <w:tcPr>
            <w:tcW w:w="279" w:type="pct"/>
            <w:vAlign w:val="center"/>
          </w:tcPr>
          <w:p>
            <w:pPr>
              <w:rPr>
                <w:rFonts w:cs="Times New Roman"/>
                <w:color w:val="000000" w:themeColor="text1"/>
              </w:rPr>
            </w:pPr>
            <w:r>
              <w:rPr>
                <w:rFonts w:cs="Times New Roman"/>
                <w:color w:val="000000" w:themeColor="text1"/>
              </w:rPr>
              <w:t>传真</w:t>
            </w:r>
          </w:p>
        </w:tc>
        <w:tc>
          <w:tcPr>
            <w:tcW w:w="859" w:type="pct"/>
            <w:gridSpan w:val="2"/>
            <w:vAlign w:val="center"/>
          </w:tcPr>
          <w:p>
            <w:pPr>
              <w:jc w:val="center"/>
              <w:rPr>
                <w:rFonts w:cs="Times New Roman"/>
                <w:color w:val="000000" w:themeColor="text1"/>
              </w:rPr>
            </w:pPr>
            <w:r>
              <w:rPr>
                <w:rFonts w:cs="Times New Roman"/>
                <w:color w:val="000000" w:themeColor="text1"/>
              </w:rPr>
              <w:t>/</w:t>
            </w:r>
          </w:p>
        </w:tc>
        <w:tc>
          <w:tcPr>
            <w:tcW w:w="751" w:type="pct"/>
            <w:vAlign w:val="center"/>
          </w:tcPr>
          <w:p>
            <w:pPr>
              <w:jc w:val="center"/>
              <w:rPr>
                <w:rFonts w:cs="Times New Roman"/>
                <w:color w:val="000000" w:themeColor="text1"/>
              </w:rPr>
            </w:pPr>
            <w:r>
              <w:rPr>
                <w:rFonts w:cs="Times New Roman"/>
                <w:color w:val="000000" w:themeColor="text1"/>
              </w:rPr>
              <w:t>邮政编码</w:t>
            </w:r>
          </w:p>
        </w:tc>
        <w:tc>
          <w:tcPr>
            <w:tcW w:w="974" w:type="pct"/>
            <w:vAlign w:val="center"/>
          </w:tcPr>
          <w:p>
            <w:pPr>
              <w:jc w:val="center"/>
              <w:rPr>
                <w:rFonts w:cs="Times New Roman"/>
                <w:color w:val="000000" w:themeColor="text1"/>
              </w:rPr>
            </w:pPr>
            <w:r>
              <w:rPr>
                <w:rFonts w:cs="Times New Roman"/>
                <w:color w:val="000000" w:themeColor="text1"/>
              </w:rPr>
              <w:t>414000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jc w:val="center"/>
        </w:trPr>
        <w:tc>
          <w:tcPr>
            <w:tcW w:w="947" w:type="pct"/>
            <w:vAlign w:val="center"/>
          </w:tcPr>
          <w:p>
            <w:pPr>
              <w:jc w:val="center"/>
              <w:rPr>
                <w:rFonts w:cs="Times New Roman"/>
              </w:rPr>
            </w:pPr>
            <w:r>
              <w:rPr>
                <w:rFonts w:cs="Times New Roman"/>
              </w:rPr>
              <w:t>建设地点</w:t>
            </w:r>
          </w:p>
        </w:tc>
        <w:tc>
          <w:tcPr>
            <w:tcW w:w="4052" w:type="pct"/>
            <w:gridSpan w:val="7"/>
            <w:vAlign w:val="center"/>
          </w:tcPr>
          <w:p>
            <w:pPr>
              <w:jc w:val="center"/>
              <w:rPr>
                <w:rFonts w:cs="Times New Roman"/>
                <w:color w:val="000000" w:themeColor="text1"/>
              </w:rPr>
            </w:pPr>
            <w:r>
              <w:rPr>
                <w:rFonts w:cs="Times New Roman"/>
                <w:color w:val="000000" w:themeColor="text1"/>
                <w:szCs w:val="20"/>
              </w:rPr>
              <w:t>湖南省岳阳市临港新区长江大道东侧，江一路南侧</w:t>
            </w:r>
          </w:p>
          <w:p>
            <w:pPr>
              <w:jc w:val="center"/>
              <w:rPr>
                <w:rFonts w:cs="Times New Roman"/>
              </w:rPr>
            </w:pPr>
            <w:r>
              <w:rPr>
                <w:rFonts w:cs="Times New Roman"/>
              </w:rPr>
              <w:t>（厂址中心坐标：E 113°13'10.92"，N 29°29'20.85"）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947" w:type="pct"/>
            <w:vAlign w:val="center"/>
          </w:tcPr>
          <w:p>
            <w:pPr>
              <w:jc w:val="center"/>
              <w:rPr>
                <w:rFonts w:cs="Times New Roman"/>
                <w:color w:val="000000" w:themeColor="text1"/>
              </w:rPr>
            </w:pPr>
            <w:r>
              <w:rPr>
                <w:rFonts w:cs="Times New Roman"/>
                <w:color w:val="000000" w:themeColor="text1"/>
              </w:rPr>
              <w:t>立项审批部门</w:t>
            </w:r>
          </w:p>
        </w:tc>
        <w:tc>
          <w:tcPr>
            <w:tcW w:w="1466" w:type="pct"/>
            <w:gridSpan w:val="3"/>
            <w:vAlign w:val="center"/>
          </w:tcPr>
          <w:p>
            <w:pPr>
              <w:jc w:val="center"/>
              <w:rPr>
                <w:rFonts w:cs="Times New Roman"/>
                <w:color w:val="000000" w:themeColor="text1"/>
              </w:rPr>
            </w:pPr>
            <w:r>
              <w:rPr>
                <w:rFonts w:cs="Times New Roman"/>
                <w:szCs w:val="24"/>
              </w:rPr>
              <w:t>岳阳市发展和改革委员会</w:t>
            </w:r>
          </w:p>
        </w:tc>
        <w:tc>
          <w:tcPr>
            <w:tcW w:w="859" w:type="pct"/>
            <w:gridSpan w:val="2"/>
            <w:vAlign w:val="center"/>
          </w:tcPr>
          <w:p>
            <w:pPr>
              <w:jc w:val="center"/>
              <w:rPr>
                <w:rFonts w:cs="Times New Roman"/>
                <w:color w:val="000000" w:themeColor="text1"/>
              </w:rPr>
            </w:pPr>
            <w:r>
              <w:rPr>
                <w:rFonts w:cs="Times New Roman"/>
                <w:color w:val="000000" w:themeColor="text1"/>
              </w:rPr>
              <w:t>审批文号</w:t>
            </w:r>
          </w:p>
        </w:tc>
        <w:tc>
          <w:tcPr>
            <w:tcW w:w="1726" w:type="pct"/>
            <w:gridSpan w:val="2"/>
            <w:vAlign w:val="center"/>
          </w:tcPr>
          <w:p>
            <w:pPr>
              <w:jc w:val="center"/>
              <w:rPr>
                <w:rFonts w:cs="Times New Roman"/>
                <w:color w:val="000000" w:themeColor="text1"/>
              </w:rPr>
            </w:pPr>
            <w:r>
              <w:rPr>
                <w:rFonts w:cs="Times New Roman"/>
                <w:color w:val="000000" w:themeColor="text1"/>
              </w:rPr>
              <w:t>2020-430603-30-03-026673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47" w:type="pct"/>
            <w:vAlign w:val="center"/>
          </w:tcPr>
          <w:p>
            <w:pPr>
              <w:jc w:val="center"/>
              <w:rPr>
                <w:rFonts w:cs="Times New Roman"/>
                <w:color w:val="000000" w:themeColor="text1"/>
              </w:rPr>
            </w:pPr>
            <w:r>
              <w:rPr>
                <w:rFonts w:cs="Times New Roman"/>
                <w:color w:val="000000" w:themeColor="text1"/>
              </w:rPr>
              <w:t>建设性质</w:t>
            </w:r>
          </w:p>
        </w:tc>
        <w:tc>
          <w:tcPr>
            <w:tcW w:w="1466" w:type="pct"/>
            <w:gridSpan w:val="3"/>
            <w:vAlign w:val="center"/>
          </w:tcPr>
          <w:p>
            <w:pPr>
              <w:jc w:val="center"/>
              <w:rPr>
                <w:rFonts w:cs="Times New Roman"/>
                <w:color w:val="000000" w:themeColor="text1"/>
              </w:rPr>
            </w:pPr>
            <w:r>
              <w:rPr>
                <w:rFonts w:cs="Times New Roman"/>
                <w:color w:val="000000" w:themeColor="text1"/>
              </w:rPr>
              <w:t>新建√改扩建□技改□</w:t>
            </w:r>
          </w:p>
        </w:tc>
        <w:tc>
          <w:tcPr>
            <w:tcW w:w="859" w:type="pct"/>
            <w:gridSpan w:val="2"/>
            <w:vAlign w:val="center"/>
          </w:tcPr>
          <w:p>
            <w:pPr>
              <w:jc w:val="center"/>
              <w:rPr>
                <w:rFonts w:cs="Times New Roman"/>
                <w:color w:val="000000" w:themeColor="text1"/>
              </w:rPr>
            </w:pPr>
            <w:r>
              <w:rPr>
                <w:rFonts w:cs="Times New Roman"/>
                <w:color w:val="000000" w:themeColor="text1"/>
              </w:rPr>
              <w:t>行业类别及代码</w:t>
            </w:r>
          </w:p>
        </w:tc>
        <w:tc>
          <w:tcPr>
            <w:tcW w:w="1726" w:type="pct"/>
            <w:gridSpan w:val="2"/>
            <w:vAlign w:val="center"/>
          </w:tcPr>
          <w:p>
            <w:pPr>
              <w:jc w:val="center"/>
              <w:rPr>
                <w:rFonts w:cs="Times New Roman"/>
                <w:color w:val="000000" w:themeColor="text1"/>
              </w:rPr>
            </w:pPr>
            <w:r>
              <w:rPr>
                <w:rFonts w:eastAsia="宋体" w:cs="Times New Roman"/>
                <w:color w:val="000000"/>
                <w:kern w:val="0"/>
              </w:rPr>
              <w:t>C3021水泥制品制造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exact"/>
          <w:jc w:val="center"/>
        </w:trPr>
        <w:tc>
          <w:tcPr>
            <w:tcW w:w="947" w:type="pct"/>
            <w:vAlign w:val="center"/>
          </w:tcPr>
          <w:p>
            <w:pPr>
              <w:jc w:val="center"/>
              <w:rPr>
                <w:rFonts w:cs="Times New Roman"/>
                <w:color w:val="000000" w:themeColor="text1"/>
              </w:rPr>
            </w:pPr>
            <w:r>
              <w:rPr>
                <w:rFonts w:cs="Times New Roman"/>
                <w:color w:val="000000" w:themeColor="text1"/>
              </w:rPr>
              <w:t>占地面积（平方米）</w:t>
            </w:r>
          </w:p>
        </w:tc>
        <w:tc>
          <w:tcPr>
            <w:tcW w:w="1466" w:type="pct"/>
            <w:gridSpan w:val="3"/>
            <w:vAlign w:val="center"/>
          </w:tcPr>
          <w:p>
            <w:pPr>
              <w:jc w:val="center"/>
              <w:rPr>
                <w:rFonts w:cs="Times New Roman"/>
                <w:color w:val="000000" w:themeColor="text1"/>
              </w:rPr>
            </w:pPr>
            <w:r>
              <w:rPr>
                <w:rFonts w:cs="Times New Roman"/>
                <w:color w:val="0000FF"/>
              </w:rPr>
              <w:t>17438.23m</w:t>
            </w:r>
            <w:r>
              <w:rPr>
                <w:rFonts w:cs="Times New Roman"/>
                <w:color w:val="0000FF"/>
                <w:vertAlign w:val="superscript"/>
              </w:rPr>
              <w:t>2</w:t>
            </w:r>
          </w:p>
        </w:tc>
        <w:tc>
          <w:tcPr>
            <w:tcW w:w="859" w:type="pct"/>
            <w:gridSpan w:val="2"/>
            <w:vAlign w:val="center"/>
          </w:tcPr>
          <w:p>
            <w:pPr>
              <w:jc w:val="center"/>
              <w:rPr>
                <w:rFonts w:cs="Times New Roman"/>
                <w:color w:val="000000" w:themeColor="text1"/>
              </w:rPr>
            </w:pPr>
            <w:r>
              <w:rPr>
                <w:rFonts w:cs="Times New Roman"/>
                <w:color w:val="000000" w:themeColor="text1"/>
              </w:rPr>
              <w:t>绿化面（平方米）</w:t>
            </w:r>
          </w:p>
        </w:tc>
        <w:tc>
          <w:tcPr>
            <w:tcW w:w="1726" w:type="pct"/>
            <w:gridSpan w:val="2"/>
            <w:vAlign w:val="center"/>
          </w:tcPr>
          <w:p>
            <w:pPr>
              <w:jc w:val="center"/>
              <w:rPr>
                <w:rFonts w:cs="Times New Roman"/>
                <w:color w:val="000000" w:themeColor="text1"/>
              </w:rPr>
            </w:pPr>
            <w:r>
              <w:rPr>
                <w:rFonts w:cs="Times New Roman"/>
                <w:color w:val="000000" w:themeColor="text1"/>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exact"/>
          <w:jc w:val="center"/>
        </w:trPr>
        <w:tc>
          <w:tcPr>
            <w:tcW w:w="947" w:type="pct"/>
            <w:vAlign w:val="center"/>
          </w:tcPr>
          <w:p>
            <w:pPr>
              <w:jc w:val="center"/>
              <w:rPr>
                <w:rFonts w:cs="Times New Roman"/>
                <w:color w:val="000000" w:themeColor="text1"/>
              </w:rPr>
            </w:pPr>
            <w:r>
              <w:rPr>
                <w:rFonts w:cs="Times New Roman"/>
                <w:color w:val="000000" w:themeColor="text1"/>
              </w:rPr>
              <w:t>总投资</w:t>
            </w:r>
          </w:p>
          <w:p>
            <w:pPr>
              <w:jc w:val="center"/>
              <w:rPr>
                <w:rFonts w:cs="Times New Roman"/>
                <w:color w:val="000000" w:themeColor="text1"/>
              </w:rPr>
            </w:pPr>
            <w:r>
              <w:rPr>
                <w:rFonts w:cs="Times New Roman"/>
                <w:color w:val="000000" w:themeColor="text1"/>
              </w:rPr>
              <w:t>（万元）</w:t>
            </w:r>
          </w:p>
        </w:tc>
        <w:tc>
          <w:tcPr>
            <w:tcW w:w="584" w:type="pct"/>
            <w:vAlign w:val="center"/>
          </w:tcPr>
          <w:p>
            <w:pPr>
              <w:jc w:val="center"/>
              <w:rPr>
                <w:rFonts w:cs="Times New Roman"/>
                <w:color w:val="000000" w:themeColor="text1"/>
              </w:rPr>
            </w:pPr>
            <w:r>
              <w:rPr>
                <w:rFonts w:cs="Times New Roman"/>
                <w:color w:val="000000" w:themeColor="text1"/>
              </w:rPr>
              <w:t>8002.48</w:t>
            </w:r>
          </w:p>
        </w:tc>
        <w:tc>
          <w:tcPr>
            <w:tcW w:w="882" w:type="pct"/>
            <w:gridSpan w:val="2"/>
            <w:vAlign w:val="center"/>
          </w:tcPr>
          <w:p>
            <w:pPr>
              <w:jc w:val="center"/>
              <w:rPr>
                <w:rFonts w:cs="Times New Roman"/>
                <w:color w:val="000000" w:themeColor="text1"/>
                <w:spacing w:val="-16"/>
              </w:rPr>
            </w:pPr>
            <w:r>
              <w:rPr>
                <w:rFonts w:cs="Times New Roman"/>
                <w:color w:val="000000" w:themeColor="text1"/>
                <w:spacing w:val="-16"/>
              </w:rPr>
              <w:t>其中环保投资（万元）</w:t>
            </w:r>
          </w:p>
        </w:tc>
        <w:tc>
          <w:tcPr>
            <w:tcW w:w="859" w:type="pct"/>
            <w:gridSpan w:val="2"/>
            <w:vAlign w:val="center"/>
          </w:tcPr>
          <w:p>
            <w:pPr>
              <w:jc w:val="center"/>
              <w:rPr>
                <w:rFonts w:cs="Times New Roman"/>
                <w:color w:val="000000" w:themeColor="text1"/>
              </w:rPr>
            </w:pPr>
            <w:r>
              <w:rPr>
                <w:rFonts w:cs="Times New Roman"/>
                <w:color w:val="000000" w:themeColor="text1"/>
              </w:rPr>
              <w:t>109</w:t>
            </w:r>
          </w:p>
        </w:tc>
        <w:tc>
          <w:tcPr>
            <w:tcW w:w="751" w:type="pct"/>
            <w:vAlign w:val="center"/>
          </w:tcPr>
          <w:p>
            <w:pPr>
              <w:jc w:val="center"/>
              <w:rPr>
                <w:rFonts w:cs="Times New Roman"/>
                <w:color w:val="000000" w:themeColor="text1"/>
                <w:spacing w:val="-12"/>
              </w:rPr>
            </w:pPr>
            <w:r>
              <w:rPr>
                <w:rFonts w:cs="Times New Roman"/>
                <w:color w:val="000000" w:themeColor="text1"/>
                <w:spacing w:val="-12"/>
              </w:rPr>
              <w:t>环保投资占总投资比例</w:t>
            </w:r>
          </w:p>
        </w:tc>
        <w:tc>
          <w:tcPr>
            <w:tcW w:w="974" w:type="pct"/>
            <w:vAlign w:val="center"/>
          </w:tcPr>
          <w:p>
            <w:pPr>
              <w:jc w:val="center"/>
              <w:rPr>
                <w:rFonts w:cs="Times New Roman"/>
                <w:color w:val="000000" w:themeColor="text1"/>
              </w:rPr>
            </w:pPr>
            <w:r>
              <w:rPr>
                <w:rFonts w:cs="Times New Roman"/>
                <w:color w:val="000000" w:themeColor="text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47" w:type="pct"/>
            <w:vAlign w:val="center"/>
          </w:tcPr>
          <w:p>
            <w:pPr>
              <w:jc w:val="center"/>
              <w:rPr>
                <w:rFonts w:cs="Times New Roman"/>
                <w:color w:val="000000" w:themeColor="text1"/>
              </w:rPr>
            </w:pPr>
            <w:r>
              <w:rPr>
                <w:rFonts w:cs="Times New Roman"/>
                <w:color w:val="000000" w:themeColor="text1"/>
              </w:rPr>
              <w:t>评价经费</w:t>
            </w:r>
          </w:p>
          <w:p>
            <w:pPr>
              <w:jc w:val="center"/>
              <w:rPr>
                <w:rFonts w:cs="Times New Roman"/>
                <w:color w:val="000000" w:themeColor="text1"/>
              </w:rPr>
            </w:pPr>
            <w:r>
              <w:rPr>
                <w:rFonts w:cs="Times New Roman"/>
                <w:color w:val="000000" w:themeColor="text1"/>
              </w:rPr>
              <w:t>（万元）</w:t>
            </w:r>
          </w:p>
        </w:tc>
        <w:tc>
          <w:tcPr>
            <w:tcW w:w="584" w:type="pct"/>
            <w:vAlign w:val="center"/>
          </w:tcPr>
          <w:p>
            <w:pPr>
              <w:jc w:val="center"/>
              <w:rPr>
                <w:rFonts w:cs="Times New Roman"/>
                <w:color w:val="000000" w:themeColor="text1"/>
              </w:rPr>
            </w:pPr>
          </w:p>
        </w:tc>
        <w:tc>
          <w:tcPr>
            <w:tcW w:w="1741" w:type="pct"/>
            <w:gridSpan w:val="4"/>
            <w:vAlign w:val="center"/>
          </w:tcPr>
          <w:p>
            <w:pPr>
              <w:jc w:val="center"/>
              <w:rPr>
                <w:rFonts w:cs="Times New Roman"/>
                <w:color w:val="000000" w:themeColor="text1"/>
              </w:rPr>
            </w:pPr>
            <w:r>
              <w:rPr>
                <w:rFonts w:cs="Times New Roman"/>
                <w:color w:val="000000" w:themeColor="text1"/>
              </w:rPr>
              <w:t>预期投产日期</w:t>
            </w:r>
          </w:p>
        </w:tc>
        <w:tc>
          <w:tcPr>
            <w:tcW w:w="1726" w:type="pct"/>
            <w:gridSpan w:val="2"/>
            <w:vAlign w:val="center"/>
          </w:tcPr>
          <w:p>
            <w:pPr>
              <w:jc w:val="center"/>
              <w:rPr>
                <w:rFonts w:cs="Times New Roman"/>
                <w:color w:val="000000" w:themeColor="text1"/>
              </w:rPr>
            </w:pPr>
            <w:r>
              <w:rPr>
                <w:rFonts w:cs="Times New Roman"/>
                <w:color w:val="000000" w:themeColor="text1"/>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5000" w:type="pct"/>
            <w:gridSpan w:val="8"/>
          </w:tcPr>
          <w:p>
            <w:pPr>
              <w:pStyle w:val="6"/>
              <w:rPr>
                <w:rFonts w:cs="Times New Roman"/>
                <w:b/>
                <w:bCs/>
                <w:color w:val="000000" w:themeColor="text1"/>
              </w:rPr>
            </w:pPr>
            <w:r>
              <w:rPr>
                <w:rFonts w:cs="Times New Roman"/>
                <w:b/>
                <w:bCs/>
                <w:color w:val="000000" w:themeColor="text1"/>
              </w:rPr>
              <w:t>项目由来</w:t>
            </w:r>
          </w:p>
          <w:p>
            <w:pPr>
              <w:adjustRightInd w:val="0"/>
              <w:snapToGrid w:val="0"/>
              <w:spacing w:line="360" w:lineRule="auto"/>
              <w:ind w:firstLine="480" w:firstLineChars="200"/>
              <w:rPr>
                <w:rFonts w:cs="Times New Roman"/>
                <w:szCs w:val="20"/>
              </w:rPr>
            </w:pPr>
            <w:r>
              <w:rPr>
                <w:rFonts w:cs="Times New Roman"/>
                <w:szCs w:val="20"/>
              </w:rPr>
              <w:t>2014年以来是商品混凝土和干混砂浆飞速发展的时期，时至今日，商品混凝土和干混砂浆基本上覆盖了全国各省会城市，大部分二、三级城市也已经开始了商品混凝土和干混砂浆的推广和使用，全国各地旧城改造、高速公路及铁路的发展更是加速了商品混凝土和干混砂浆的长足发展。近年来，工业园基础设施、房地产开发、旧城区改造、乡村公路、桥梁建设等为商品混凝土和干混砂浆提供了广阔的市场。从项目本身来讲，能够获得良好的经济效益，从行业和国民经济评价来讲，符合国家、地方的产业政策，是一个良好的经营机会，发展趋势强劲。</w:t>
            </w:r>
          </w:p>
          <w:p>
            <w:pPr>
              <w:adjustRightInd w:val="0"/>
              <w:snapToGrid w:val="0"/>
              <w:spacing w:line="360" w:lineRule="auto"/>
              <w:ind w:firstLine="480" w:firstLineChars="200"/>
              <w:rPr>
                <w:rFonts w:cs="Times New Roman"/>
                <w:color w:val="000000" w:themeColor="text1"/>
                <w:u w:val="single"/>
              </w:rPr>
            </w:pPr>
            <w:r>
              <w:rPr>
                <w:rFonts w:cs="Times New Roman"/>
                <w:color w:val="000000" w:themeColor="text1"/>
                <w:u w:val="single"/>
              </w:rPr>
              <w:t>湖南岳阳南方新材料科技有限公司成立于2007年8月28日，公司地址在岳阳市岳阳楼区芭蕉湖路1号，主要经营混凝土及水泥制品的生产、销售、混凝土设备研究和开发，建筑材料销售等。原项目共设有2条混凝土生产线，年产混凝土90万m</w:t>
            </w:r>
            <w:r>
              <w:rPr>
                <w:rFonts w:cs="Times New Roman"/>
                <w:color w:val="000000" w:themeColor="text1"/>
                <w:u w:val="single"/>
                <w:vertAlign w:val="superscript"/>
              </w:rPr>
              <w:t>3</w:t>
            </w:r>
            <w:r>
              <w:rPr>
                <w:rFonts w:cs="Times New Roman"/>
                <w:color w:val="000000" w:themeColor="text1"/>
                <w:u w:val="single"/>
              </w:rPr>
              <w:t>，原有项目主要有预拌混凝土生产线、皮带输送机、水泵等等，目前</w:t>
            </w:r>
            <w:r>
              <w:rPr>
                <w:rFonts w:cs="Times New Roman"/>
                <w:color w:val="000000" w:themeColor="text1"/>
                <w:kern w:val="0"/>
                <w:szCs w:val="24"/>
                <w:u w:val="single"/>
              </w:rPr>
              <w:t>，原有厂房已拆除，原有厂房的设备已全部处理</w:t>
            </w:r>
            <w:r>
              <w:rPr>
                <w:rFonts w:cs="Times New Roman"/>
                <w:color w:val="000000" w:themeColor="text1"/>
                <w:u w:val="single"/>
              </w:rPr>
              <w:t>。由于原有项目用地租期已到期，租用土地需要收回，湖南岳阳南方新材料科技有限公司</w:t>
            </w:r>
            <w:r>
              <w:rPr>
                <w:rFonts w:cs="Times New Roman"/>
                <w:color w:val="000000" w:themeColor="text1"/>
                <w:kern w:val="0"/>
                <w:szCs w:val="24"/>
                <w:u w:val="single"/>
              </w:rPr>
              <w:t>为了适应政策以及日益增长的市场需求，特提出对项目进行异地搬迁建设。本项目已经由岳阳市发展和改革委员会备案（备案文号：</w:t>
            </w:r>
            <w:r>
              <w:rPr>
                <w:rFonts w:cs="Times New Roman"/>
                <w:color w:val="000000" w:themeColor="text1"/>
                <w:u w:val="single"/>
              </w:rPr>
              <w:t>2020-430603-30-03-026673</w:t>
            </w:r>
            <w:r>
              <w:rPr>
                <w:rFonts w:cs="Times New Roman"/>
                <w:color w:val="000000" w:themeColor="text1"/>
                <w:kern w:val="0"/>
                <w:szCs w:val="24"/>
                <w:u w:val="single"/>
              </w:rPr>
              <w:t>），相关备案文件见附件。本次项目建设全部重新购买设备，并且新建厂房。</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szCs w:val="20"/>
              </w:rPr>
              <w:t>根据中华人民共和国主席令第四十八号《中华人民共和国环境影响评价法》及国务院第682号令《建设项目环境保护管理条例》的有关规定，拟建项目需办理环境影响评价手续。根据《建设项目环境影响评价分类管理名录（20</w:t>
            </w:r>
            <w:r>
              <w:rPr>
                <w:rFonts w:hint="default" w:ascii="Times New Roman" w:hAnsi="Times New Roman" w:cs="Times New Roman"/>
                <w:szCs w:val="20"/>
                <w:lang w:val="en-US" w:eastAsia="zh-CN"/>
              </w:rPr>
              <w:t>21</w:t>
            </w:r>
            <w:r>
              <w:rPr>
                <w:rFonts w:hint="default" w:ascii="Times New Roman" w:hAnsi="Times New Roman" w:cs="Times New Roman"/>
                <w:szCs w:val="20"/>
              </w:rPr>
              <w:t>年）》 本项目属于</w:t>
            </w:r>
            <w:r>
              <w:rPr>
                <w:rFonts w:hint="default" w:ascii="Times New Roman" w:hAnsi="Times New Roman" w:cs="Times New Roman"/>
                <w:szCs w:val="20"/>
                <w:lang w:eastAsia="zh-CN"/>
              </w:rPr>
              <w:t>“</w:t>
            </w:r>
            <w:r>
              <w:rPr>
                <w:rFonts w:hint="default" w:ascii="Times New Roman" w:hAnsi="Times New Roman" w:eastAsia="宋体" w:cs="Times New Roman"/>
                <w:color w:val="000000"/>
                <w:szCs w:val="24"/>
                <w:lang w:eastAsia="zh-CN"/>
              </w:rPr>
              <w:t>二十七</w:t>
            </w:r>
            <w:r>
              <w:rPr>
                <w:rFonts w:hint="default" w:ascii="Times New Roman" w:hAnsi="Times New Roman" w:cs="Times New Roman"/>
                <w:color w:val="000000"/>
                <w:szCs w:val="24"/>
              </w:rPr>
              <w:t>、非金属矿物制品业”中“</w:t>
            </w:r>
            <w:r>
              <w:rPr>
                <w:rFonts w:hint="default" w:ascii="Times New Roman" w:hAnsi="Times New Roman" w:cs="Times New Roman"/>
                <w:color w:val="000000"/>
                <w:szCs w:val="24"/>
                <w:lang w:val="en-US" w:eastAsia="zh-CN"/>
              </w:rPr>
              <w:t>55石膏、水泥制品及类似制品制造302—</w:t>
            </w:r>
            <w:r>
              <w:rPr>
                <w:rFonts w:hint="default" w:ascii="Times New Roman" w:hAnsi="Times New Roman" w:eastAsia="宋体" w:cs="Times New Roman"/>
                <w:kern w:val="2"/>
                <w:sz w:val="24"/>
                <w:szCs w:val="24"/>
                <w:lang w:eastAsia="zh-CN"/>
              </w:rPr>
              <w:t>商品混凝土及</w:t>
            </w:r>
            <w:r>
              <w:rPr>
                <w:rFonts w:hint="default" w:ascii="Times New Roman" w:hAnsi="Times New Roman" w:eastAsia="宋体" w:cs="Times New Roman"/>
                <w:color w:val="000000"/>
                <w:kern w:val="0"/>
                <w:sz w:val="24"/>
                <w:szCs w:val="24"/>
                <w:lang w:val="en-US" w:eastAsia="zh-CN" w:bidi="ar"/>
              </w:rPr>
              <w:t>水泥制品制造</w:t>
            </w:r>
            <w:r>
              <w:rPr>
                <w:rFonts w:hint="default" w:ascii="Times New Roman" w:hAnsi="Times New Roman" w:cs="Times New Roman"/>
                <w:color w:val="000000"/>
                <w:szCs w:val="24"/>
              </w:rPr>
              <w:t>”</w:t>
            </w:r>
            <w:r>
              <w:rPr>
                <w:rFonts w:hint="default" w:ascii="Times New Roman" w:hAnsi="Times New Roman" w:cs="Times New Roman"/>
                <w:szCs w:val="20"/>
              </w:rPr>
              <w:t>，应编制环境影响评价报告表，</w:t>
            </w:r>
            <w:r>
              <w:rPr>
                <w:rFonts w:hint="default" w:ascii="Times New Roman" w:hAnsi="Times New Roman" w:cs="Times New Roman"/>
                <w:color w:val="36363D"/>
              </w:rPr>
              <w:t>湖南岳阳南方新材料科技有限公司</w:t>
            </w:r>
            <w:r>
              <w:rPr>
                <w:rFonts w:hint="default" w:ascii="Times New Roman" w:hAnsi="Times New Roman" w:cs="Times New Roman"/>
              </w:rPr>
              <w:t xml:space="preserve">委托湖南九湘环保科技有限公司承担该项目环境影响评价工作。 </w:t>
            </w:r>
          </w:p>
          <w:p>
            <w:pPr>
              <w:pStyle w:val="15"/>
              <w:spacing w:line="240" w:lineRule="auto"/>
              <w:rPr>
                <w:rFonts w:cs="Times New Roman" w:eastAsiaTheme="minorEastAsia"/>
                <w:color w:val="000000" w:themeColor="text1"/>
                <w:sz w:val="21"/>
                <w:szCs w:val="21"/>
              </w:rPr>
            </w:pPr>
            <w:bookmarkStart w:id="1" w:name="_Ref21614624"/>
            <w:r>
              <w:rPr>
                <w:rFonts w:cs="Times New Roman" w:eastAsiaTheme="minorEastAsia"/>
                <w:color w:val="000000" w:themeColor="text1"/>
                <w:spacing w:val="4"/>
                <w:sz w:val="21"/>
                <w:szCs w:val="21"/>
              </w:rPr>
              <w:t>表</w:t>
            </w:r>
            <w:r>
              <w:rPr>
                <w:rFonts w:cs="Times New Roman" w:eastAsiaTheme="minorEastAsia"/>
                <w:color w:val="000000" w:themeColor="text1"/>
                <w:spacing w:val="4"/>
                <w:sz w:val="21"/>
                <w:szCs w:val="21"/>
              </w:rPr>
              <w:fldChar w:fldCharType="begin"/>
            </w:r>
            <w:r>
              <w:rPr>
                <w:rFonts w:cs="Times New Roman" w:eastAsiaTheme="minorEastAsia"/>
                <w:color w:val="000000" w:themeColor="text1"/>
                <w:spacing w:val="4"/>
                <w:sz w:val="21"/>
                <w:szCs w:val="21"/>
              </w:rPr>
              <w:instrText xml:space="preserve"> STYLEREF 2 \s </w:instrText>
            </w:r>
            <w:r>
              <w:rPr>
                <w:rFonts w:cs="Times New Roman" w:eastAsiaTheme="minorEastAsia"/>
                <w:color w:val="000000" w:themeColor="text1"/>
                <w:spacing w:val="4"/>
                <w:sz w:val="21"/>
                <w:szCs w:val="21"/>
              </w:rPr>
              <w:fldChar w:fldCharType="separate"/>
            </w:r>
            <w:r>
              <w:rPr>
                <w:rFonts w:cs="Times New Roman" w:eastAsiaTheme="minorEastAsia"/>
                <w:color w:val="000000" w:themeColor="text1"/>
                <w:spacing w:val="4"/>
                <w:sz w:val="21"/>
                <w:szCs w:val="21"/>
              </w:rPr>
              <w:t>1.1</w:t>
            </w:r>
            <w:r>
              <w:rPr>
                <w:rFonts w:cs="Times New Roman" w:eastAsiaTheme="minorEastAsia"/>
                <w:color w:val="000000" w:themeColor="text1"/>
                <w:spacing w:val="4"/>
                <w:sz w:val="21"/>
                <w:szCs w:val="21"/>
              </w:rPr>
              <w:fldChar w:fldCharType="end"/>
            </w:r>
            <w:r>
              <w:rPr>
                <w:rFonts w:cs="Times New Roman" w:eastAsiaTheme="minorEastAsia"/>
                <w:color w:val="000000" w:themeColor="text1"/>
                <w:spacing w:val="4"/>
                <w:sz w:val="21"/>
                <w:szCs w:val="21"/>
              </w:rPr>
              <w:noBreakHyphen/>
            </w:r>
            <w:r>
              <w:rPr>
                <w:rFonts w:cs="Times New Roman" w:eastAsiaTheme="minorEastAsia"/>
                <w:color w:val="000000" w:themeColor="text1"/>
                <w:spacing w:val="4"/>
                <w:sz w:val="21"/>
                <w:szCs w:val="21"/>
              </w:rPr>
              <w:fldChar w:fldCharType="begin"/>
            </w:r>
            <w:r>
              <w:rPr>
                <w:rFonts w:cs="Times New Roman" w:eastAsiaTheme="minorEastAsia"/>
                <w:color w:val="000000" w:themeColor="text1"/>
                <w:spacing w:val="4"/>
                <w:sz w:val="21"/>
                <w:szCs w:val="21"/>
              </w:rPr>
              <w:instrText xml:space="preserve"> SEQ 表 \* ARABIC \s 2 </w:instrText>
            </w:r>
            <w:r>
              <w:rPr>
                <w:rFonts w:cs="Times New Roman" w:eastAsiaTheme="minorEastAsia"/>
                <w:color w:val="000000" w:themeColor="text1"/>
                <w:spacing w:val="4"/>
                <w:sz w:val="21"/>
                <w:szCs w:val="21"/>
              </w:rPr>
              <w:fldChar w:fldCharType="separate"/>
            </w:r>
            <w:r>
              <w:rPr>
                <w:rFonts w:cs="Times New Roman" w:eastAsiaTheme="minorEastAsia"/>
                <w:color w:val="000000" w:themeColor="text1"/>
                <w:spacing w:val="4"/>
                <w:sz w:val="21"/>
                <w:szCs w:val="21"/>
              </w:rPr>
              <w:t>1</w:t>
            </w:r>
            <w:r>
              <w:rPr>
                <w:rFonts w:cs="Times New Roman" w:eastAsiaTheme="minorEastAsia"/>
                <w:color w:val="000000" w:themeColor="text1"/>
                <w:spacing w:val="4"/>
                <w:sz w:val="21"/>
                <w:szCs w:val="21"/>
              </w:rPr>
              <w:fldChar w:fldCharType="end"/>
            </w:r>
            <w:bookmarkEnd w:id="1"/>
            <w:r>
              <w:rPr>
                <w:rFonts w:cs="Times New Roman" w:eastAsiaTheme="minorEastAsia"/>
                <w:color w:val="000000" w:themeColor="text1"/>
                <w:sz w:val="21"/>
                <w:szCs w:val="21"/>
              </w:rPr>
              <w:t xml:space="preserve">  建设项目环境影响评价分类管理目录（节选）</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81"/>
              <w:gridCol w:w="849"/>
              <w:gridCol w:w="4661"/>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Borders>
                    <w:top w:val="single" w:color="auto" w:sz="4" w:space="0"/>
                    <w:left w:val="single" w:color="auto" w:sz="4" w:space="0"/>
                    <w:tl2br w:val="single" w:color="auto" w:sz="4" w:space="0"/>
                  </w:tcBorders>
                  <w:noWrap w:val="0"/>
                  <w:vAlign w:val="top"/>
                </w:tcPr>
                <w:p>
                  <w:pPr>
                    <w:pStyle w:val="15"/>
                    <w:keepNext w:val="0"/>
                    <w:keepLines w:val="0"/>
                    <w:pageBreakBefore w:val="0"/>
                    <w:kinsoku/>
                    <w:wordWrap/>
                    <w:overflowPunct/>
                    <w:topLinePunct w:val="0"/>
                    <w:bidi w:val="0"/>
                    <w:adjustRightInd w:val="0"/>
                    <w:snapToGrid w:val="0"/>
                    <w:spacing w:line="240" w:lineRule="auto"/>
                    <w:jc w:val="right"/>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环评类别</w:t>
                  </w:r>
                </w:p>
                <w:p>
                  <w:pPr>
                    <w:keepNext w:val="0"/>
                    <w:keepLines w:val="0"/>
                    <w:pageBreakBefore w:val="0"/>
                    <w:kinsoku/>
                    <w:wordWrap/>
                    <w:overflowPunct/>
                    <w:topLinePunct w:val="0"/>
                    <w:bidi w:val="0"/>
                    <w:adjustRightInd w:val="0"/>
                    <w:snapToGrid w:val="0"/>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项目类别</w:t>
                  </w:r>
                </w:p>
              </w:tc>
              <w:tc>
                <w:tcPr>
                  <w:tcW w:w="849" w:type="dxa"/>
                  <w:tcBorders>
                    <w:top w:val="single" w:color="auto" w:sz="4" w:space="0"/>
                  </w:tcBorders>
                  <w:noWrap w:val="0"/>
                  <w:vAlign w:val="center"/>
                </w:tcPr>
                <w:p>
                  <w:pPr>
                    <w:pStyle w:val="15"/>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报告书</w:t>
                  </w:r>
                </w:p>
              </w:tc>
              <w:tc>
                <w:tcPr>
                  <w:tcW w:w="4661" w:type="dxa"/>
                  <w:tcBorders>
                    <w:top w:val="single" w:color="auto" w:sz="4" w:space="0"/>
                  </w:tcBorders>
                  <w:noWrap w:val="0"/>
                  <w:vAlign w:val="center"/>
                </w:tcPr>
                <w:p>
                  <w:pPr>
                    <w:pStyle w:val="15"/>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报告表</w:t>
                  </w:r>
                </w:p>
              </w:tc>
              <w:tc>
                <w:tcPr>
                  <w:tcW w:w="882" w:type="dxa"/>
                  <w:tcBorders>
                    <w:top w:val="single" w:color="auto" w:sz="4" w:space="0"/>
                    <w:right w:val="single" w:color="auto" w:sz="4" w:space="0"/>
                  </w:tcBorders>
                  <w:noWrap w:val="0"/>
                  <w:vAlign w:val="center"/>
                </w:tcPr>
                <w:p>
                  <w:pPr>
                    <w:pStyle w:val="15"/>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5"/>
                  <w:tcBorders>
                    <w:left w:val="single" w:color="auto" w:sz="4" w:space="0"/>
                    <w:right w:val="single" w:color="auto" w:sz="4" w:space="0"/>
                  </w:tcBorders>
                  <w:noWrap w:val="0"/>
                  <w:vAlign w:val="top"/>
                </w:tcPr>
                <w:p>
                  <w:pPr>
                    <w:pStyle w:val="15"/>
                    <w:keepNext w:val="0"/>
                    <w:keepLines w:val="0"/>
                    <w:pageBreakBefore w:val="0"/>
                    <w:kinsoku/>
                    <w:wordWrap/>
                    <w:overflowPunct/>
                    <w:topLinePunct w:val="0"/>
                    <w:bidi w:val="0"/>
                    <w:adjustRightInd w:val="0"/>
                    <w:snapToGrid w:val="0"/>
                    <w:spacing w:line="240" w:lineRule="auto"/>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eastAsia="zh-CN"/>
                    </w:rPr>
                    <w:t>二十七</w:t>
                  </w:r>
                  <w:r>
                    <w:rPr>
                      <w:rFonts w:hint="default" w:ascii="Times New Roman" w:hAnsi="Times New Roman" w:cs="Times New Roman"/>
                      <w:b w:val="0"/>
                      <w:color w:val="000000"/>
                      <w:sz w:val="21"/>
                      <w:szCs w:val="21"/>
                    </w:rPr>
                    <w:t>、非金属矿物制品业</w:t>
                  </w:r>
                  <w:r>
                    <w:rPr>
                      <w:rFonts w:hint="default" w:ascii="Times New Roman" w:hAnsi="Times New Roman" w:eastAsia="宋体" w:cs="Times New Roman"/>
                      <w:b w:val="0"/>
                      <w:color w:val="00000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0" w:type="auto"/>
                  <w:tcBorders>
                    <w:left w:val="single" w:color="auto" w:sz="4" w:space="0"/>
                    <w:right w:val="single" w:color="000000" w:sz="4" w:space="0"/>
                  </w:tcBorders>
                  <w:noWrap w:val="0"/>
                  <w:vAlign w:val="center"/>
                </w:tcPr>
                <w:p>
                  <w:pPr>
                    <w:pStyle w:val="82"/>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55</w:t>
                  </w:r>
                </w:p>
              </w:tc>
              <w:tc>
                <w:tcPr>
                  <w:tcW w:w="0" w:type="auto"/>
                  <w:tcBorders>
                    <w:left w:val="single" w:color="000000" w:sz="4" w:space="0"/>
                  </w:tcBorders>
                  <w:noWrap w:val="0"/>
                  <w:vAlign w:val="center"/>
                </w:tcPr>
                <w:p>
                  <w:pPr>
                    <w:pStyle w:val="82"/>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eastAsia="zh-CN"/>
                    </w:rPr>
                    <w:t>石膏、水泥制品及类似制品制造</w:t>
                  </w:r>
                  <w:r>
                    <w:rPr>
                      <w:rFonts w:hint="default" w:ascii="Times New Roman" w:hAnsi="Times New Roman" w:eastAsia="宋体" w:cs="Times New Roman"/>
                      <w:kern w:val="2"/>
                      <w:sz w:val="21"/>
                      <w:szCs w:val="21"/>
                      <w:lang w:val="en-US" w:eastAsia="zh-CN"/>
                    </w:rPr>
                    <w:t>302</w:t>
                  </w:r>
                </w:p>
              </w:tc>
              <w:tc>
                <w:tcPr>
                  <w:tcW w:w="849" w:type="dxa"/>
                  <w:noWrap w:val="0"/>
                  <w:vAlign w:val="center"/>
                </w:tcPr>
                <w:p>
                  <w:pPr>
                    <w:pStyle w:val="82"/>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
                      <w:sz w:val="21"/>
                      <w:szCs w:val="21"/>
                    </w:rPr>
                  </w:pPr>
                  <w:r>
                    <w:rPr>
                      <w:rFonts w:hint="default" w:ascii="Times New Roman" w:hAnsi="Times New Roman" w:cs="Times New Roman"/>
                      <w:kern w:val="2"/>
                      <w:sz w:val="21"/>
                      <w:szCs w:val="21"/>
                    </w:rPr>
                    <w:t>/</w:t>
                  </w:r>
                </w:p>
              </w:tc>
              <w:tc>
                <w:tcPr>
                  <w:tcW w:w="4661" w:type="dxa"/>
                  <w:noWrap w:val="0"/>
                  <w:vAlign w:val="center"/>
                </w:tcPr>
                <w:p>
                  <w:pPr>
                    <w:keepNext w:val="0"/>
                    <w:keepLines w:val="0"/>
                    <w:pageBreakBefore w:val="0"/>
                    <w:widowControl/>
                    <w:suppressLineNumbers w:val="0"/>
                    <w:kinsoku/>
                    <w:wordWrap/>
                    <w:overflowPunct/>
                    <w:topLinePunct w:val="0"/>
                    <w:bidi w:val="0"/>
                    <w:adjustRightInd w:val="0"/>
                    <w:snapToGrid w:val="0"/>
                    <w:jc w:val="left"/>
                    <w:textAlignment w:val="auto"/>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商品混凝土；</w:t>
                  </w:r>
                  <w:r>
                    <w:rPr>
                      <w:rFonts w:hint="default" w:ascii="Times New Roman" w:hAnsi="Times New Roman" w:eastAsia="宋体" w:cs="Times New Roman"/>
                      <w:color w:val="000000"/>
                      <w:kern w:val="0"/>
                      <w:sz w:val="21"/>
                      <w:szCs w:val="21"/>
                      <w:lang w:val="en-US" w:eastAsia="zh-CN" w:bidi="ar"/>
                    </w:rPr>
                    <w:t>砼结构构件制造；水泥制品制造</w:t>
                  </w:r>
                </w:p>
              </w:tc>
              <w:tc>
                <w:tcPr>
                  <w:tcW w:w="882" w:type="dxa"/>
                  <w:tcBorders>
                    <w:right w:val="single" w:color="auto" w:sz="4" w:space="0"/>
                  </w:tcBorders>
                  <w:noWrap w:val="0"/>
                  <w:vAlign w:val="center"/>
                </w:tcPr>
                <w:p>
                  <w:pPr>
                    <w:pStyle w:val="82"/>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
                      <w:sz w:val="21"/>
                      <w:szCs w:val="21"/>
                    </w:rPr>
                  </w:pPr>
                  <w:r>
                    <w:rPr>
                      <w:rFonts w:hint="default" w:ascii="Times New Roman" w:hAnsi="Times New Roman" w:cs="Times New Roman"/>
                      <w:kern w:val="2"/>
                      <w:sz w:val="21"/>
                      <w:szCs w:val="21"/>
                    </w:rPr>
                    <w:t>/</w:t>
                  </w:r>
                </w:p>
              </w:tc>
            </w:tr>
          </w:tbl>
          <w:p>
            <w:pPr>
              <w:pStyle w:val="15"/>
              <w:spacing w:line="240" w:lineRule="auto"/>
              <w:rPr>
                <w:rFonts w:cs="Times New Roman" w:eastAsiaTheme="minorEastAsia"/>
                <w:color w:val="000000" w:themeColor="text1"/>
                <w:sz w:val="21"/>
                <w:szCs w:val="21"/>
              </w:rPr>
            </w:pPr>
          </w:p>
          <w:p>
            <w:pPr>
              <w:pStyle w:val="6"/>
              <w:rPr>
                <w:rFonts w:cs="Times New Roman"/>
                <w:b/>
                <w:color w:val="000000" w:themeColor="text1"/>
              </w:rPr>
            </w:pPr>
            <w:r>
              <w:rPr>
                <w:rFonts w:cs="Times New Roman"/>
                <w:b/>
                <w:color w:val="000000" w:themeColor="text1"/>
              </w:rPr>
              <w:t>项目建设基本概况</w:t>
            </w:r>
          </w:p>
          <w:p>
            <w:pPr>
              <w:pStyle w:val="7"/>
              <w:rPr>
                <w:rFonts w:cs="Times New Roman" w:eastAsiaTheme="minorEastAsia"/>
                <w:color w:val="000000" w:themeColor="text1"/>
              </w:rPr>
            </w:pPr>
            <w:r>
              <w:rPr>
                <w:rFonts w:cs="Times New Roman" w:eastAsiaTheme="minorEastAsia"/>
                <w:color w:val="000000" w:themeColor="text1"/>
              </w:rPr>
              <w:t>项目概况</w:t>
            </w:r>
          </w:p>
          <w:p>
            <w:pPr>
              <w:numPr>
                <w:ilvl w:val="0"/>
                <w:numId w:val="2"/>
              </w:numPr>
              <w:tabs>
                <w:tab w:val="left" w:pos="7920"/>
              </w:tabs>
              <w:adjustRightInd w:val="0"/>
              <w:snapToGrid w:val="0"/>
              <w:spacing w:line="360" w:lineRule="auto"/>
              <w:ind w:firstLine="480" w:firstLineChars="200"/>
              <w:rPr>
                <w:rFonts w:cs="Times New Roman"/>
                <w:color w:val="000000" w:themeColor="text1"/>
                <w:szCs w:val="24"/>
              </w:rPr>
            </w:pPr>
            <w:r>
              <w:rPr>
                <w:rFonts w:cs="Times New Roman"/>
                <w:color w:val="000000" w:themeColor="text1"/>
              </w:rPr>
              <w:t>项目名称：</w:t>
            </w:r>
            <w:r>
              <w:rPr>
                <w:rFonts w:cs="Times New Roman"/>
                <w:color w:val="000000" w:themeColor="text1"/>
                <w:szCs w:val="24"/>
              </w:rPr>
              <w:t>宏源分公司异地搬迁项目(90万m</w:t>
            </w:r>
            <w:r>
              <w:rPr>
                <w:rFonts w:cs="Times New Roman"/>
                <w:color w:val="000000" w:themeColor="text1"/>
                <w:szCs w:val="24"/>
                <w:vertAlign w:val="superscript"/>
              </w:rPr>
              <w:t>3</w:t>
            </w:r>
            <w:r>
              <w:rPr>
                <w:rFonts w:cs="Times New Roman"/>
                <w:color w:val="000000" w:themeColor="text1"/>
                <w:szCs w:val="24"/>
              </w:rPr>
              <w:t>/年商品混凝土)</w:t>
            </w:r>
          </w:p>
          <w:p>
            <w:pPr>
              <w:tabs>
                <w:tab w:val="left" w:pos="7920"/>
              </w:tabs>
              <w:adjustRightInd w:val="0"/>
              <w:snapToGrid w:val="0"/>
              <w:spacing w:line="360" w:lineRule="auto"/>
              <w:ind w:firstLine="480" w:firstLineChars="200"/>
              <w:rPr>
                <w:rFonts w:cs="Times New Roman"/>
                <w:color w:val="000000" w:themeColor="text1"/>
              </w:rPr>
            </w:pPr>
            <w:r>
              <w:rPr>
                <w:rFonts w:cs="Times New Roman"/>
                <w:color w:val="000000" w:themeColor="text1"/>
              </w:rPr>
              <w:t>（2）建设单位：</w:t>
            </w:r>
            <w:r>
              <w:rPr>
                <w:rFonts w:cs="Times New Roman"/>
                <w:color w:val="36363D"/>
              </w:rPr>
              <w:t>湖南岳阳南方新材料科技有限公司</w:t>
            </w:r>
          </w:p>
          <w:p>
            <w:pPr>
              <w:tabs>
                <w:tab w:val="left" w:pos="7920"/>
              </w:tabs>
              <w:adjustRightInd w:val="0"/>
              <w:snapToGrid w:val="0"/>
              <w:spacing w:line="360" w:lineRule="auto"/>
              <w:ind w:firstLine="480" w:firstLineChars="200"/>
              <w:rPr>
                <w:rFonts w:cs="Times New Roman"/>
                <w:color w:val="000000" w:themeColor="text1"/>
              </w:rPr>
            </w:pPr>
            <w:r>
              <w:rPr>
                <w:rFonts w:cs="Times New Roman"/>
                <w:color w:val="000000" w:themeColor="text1"/>
              </w:rPr>
              <w:t>（3）建设地点：湖南省岳阳市临港新区长江大道东侧，江一路南侧（厂址中心坐标：E 113°13'10.92"，N 29°29'20.85"）</w:t>
            </w:r>
          </w:p>
          <w:p>
            <w:pPr>
              <w:tabs>
                <w:tab w:val="left" w:pos="7920"/>
              </w:tabs>
              <w:adjustRightInd w:val="0"/>
              <w:snapToGrid w:val="0"/>
              <w:spacing w:line="360" w:lineRule="auto"/>
              <w:ind w:firstLine="480" w:firstLineChars="200"/>
              <w:rPr>
                <w:rFonts w:cs="Times New Roman"/>
                <w:color w:val="000000" w:themeColor="text1"/>
                <w:vertAlign w:val="superscript"/>
              </w:rPr>
            </w:pPr>
            <w:r>
              <w:rPr>
                <w:rFonts w:cs="Times New Roman"/>
                <w:color w:val="000000" w:themeColor="text1"/>
              </w:rPr>
              <w:t>（4）占地面积：</w:t>
            </w:r>
            <w:bookmarkStart w:id="24" w:name="_GoBack"/>
            <w:r>
              <w:rPr>
                <w:rFonts w:cs="Times New Roman"/>
                <w:color w:val="auto"/>
              </w:rPr>
              <w:t>17438.23m</w:t>
            </w:r>
            <w:r>
              <w:rPr>
                <w:rFonts w:cs="Times New Roman"/>
                <w:color w:val="auto"/>
                <w:vertAlign w:val="superscript"/>
              </w:rPr>
              <w:t>2</w:t>
            </w:r>
            <w:bookmarkEnd w:id="24"/>
          </w:p>
          <w:p>
            <w:pPr>
              <w:tabs>
                <w:tab w:val="left" w:pos="7920"/>
              </w:tabs>
              <w:adjustRightInd w:val="0"/>
              <w:snapToGrid w:val="0"/>
              <w:spacing w:line="360" w:lineRule="auto"/>
              <w:ind w:firstLine="480" w:firstLineChars="200"/>
              <w:rPr>
                <w:rFonts w:cs="Times New Roman"/>
                <w:color w:val="000000" w:themeColor="text1"/>
              </w:rPr>
            </w:pPr>
            <w:r>
              <w:rPr>
                <w:rFonts w:cs="Times New Roman"/>
                <w:color w:val="000000" w:themeColor="text1"/>
              </w:rPr>
              <w:t>（5）建设性质：新建</w:t>
            </w:r>
          </w:p>
          <w:p>
            <w:pPr>
              <w:pStyle w:val="7"/>
              <w:rPr>
                <w:rFonts w:cs="Times New Roman" w:eastAsiaTheme="minorEastAsia"/>
                <w:color w:val="000000" w:themeColor="text1"/>
              </w:rPr>
            </w:pPr>
            <w:r>
              <w:rPr>
                <w:rFonts w:cs="Times New Roman" w:eastAsiaTheme="minorEastAsia"/>
                <w:color w:val="000000" w:themeColor="text1"/>
              </w:rPr>
              <w:t>工程规模及内容</w:t>
            </w:r>
          </w:p>
          <w:p>
            <w:pPr>
              <w:pStyle w:val="105"/>
              <w:numPr>
                <w:ilvl w:val="0"/>
                <w:numId w:val="3"/>
              </w:numPr>
              <w:adjustRightInd w:val="0"/>
              <w:snapToGrid w:val="0"/>
              <w:spacing w:line="360" w:lineRule="auto"/>
              <w:ind w:left="0" w:firstLine="480"/>
              <w:rPr>
                <w:rFonts w:cs="Times New Roman"/>
              </w:rPr>
            </w:pPr>
            <w:r>
              <w:rPr>
                <w:rFonts w:cs="Times New Roman"/>
              </w:rPr>
              <w:t>生产规模</w:t>
            </w:r>
          </w:p>
          <w:p>
            <w:pPr>
              <w:adjustRightInd w:val="0"/>
              <w:snapToGrid w:val="0"/>
              <w:spacing w:line="360" w:lineRule="auto"/>
              <w:ind w:firstLine="480" w:firstLineChars="200"/>
              <w:rPr>
                <w:rFonts w:cs="Times New Roman"/>
                <w:szCs w:val="24"/>
                <w:shd w:val="clear" w:color="auto" w:fill="FFFFFF"/>
              </w:rPr>
            </w:pPr>
            <w:r>
              <w:rPr>
                <w:rFonts w:cs="Times New Roman"/>
                <w:szCs w:val="24"/>
                <w:shd w:val="clear" w:color="auto" w:fill="FFFFFF"/>
              </w:rPr>
              <w:t>项目生产的产品为商品混凝土，其产品质量应满足《城镇道路工程施工与质量验收规范》（CJJ1-2008）、《建筑施工机械与设备 混凝土搅拌站（楼）》（GB/T10171-2016）、《混凝土质量控制标准》（GB 50164-2011）要求。</w:t>
            </w:r>
          </w:p>
          <w:p>
            <w:pPr>
              <w:adjustRightInd w:val="0"/>
              <w:snapToGrid w:val="0"/>
              <w:spacing w:line="360" w:lineRule="auto"/>
              <w:ind w:firstLine="480" w:firstLineChars="200"/>
              <w:rPr>
                <w:rFonts w:cs="Times New Roman"/>
                <w:szCs w:val="24"/>
                <w:shd w:val="clear" w:color="auto" w:fill="FFFFFF"/>
              </w:rPr>
            </w:pPr>
            <w:r>
              <w:rPr>
                <w:rFonts w:cs="Times New Roman"/>
                <w:szCs w:val="24"/>
                <w:shd w:val="clear" w:color="auto" w:fill="FFFFFF"/>
              </w:rPr>
              <w:t>具体的产品方案见下表。</w:t>
            </w:r>
          </w:p>
          <w:p>
            <w:pPr>
              <w:pStyle w:val="15"/>
              <w:spacing w:line="240" w:lineRule="auto"/>
              <w:rPr>
                <w:rFonts w:cs="Times New Roman" w:eastAsiaTheme="minorEastAsia"/>
                <w:sz w:val="21"/>
                <w:szCs w:val="21"/>
              </w:rPr>
            </w:pPr>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1.3</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1</w:t>
            </w:r>
            <w:r>
              <w:rPr>
                <w:rFonts w:cs="Times New Roman" w:eastAsiaTheme="minorEastAsia"/>
                <w:sz w:val="21"/>
                <w:szCs w:val="21"/>
              </w:rPr>
              <w:fldChar w:fldCharType="end"/>
            </w:r>
            <w:r>
              <w:rPr>
                <w:rFonts w:cs="Times New Roman" w:eastAsiaTheme="minorEastAsia"/>
                <w:sz w:val="21"/>
                <w:szCs w:val="21"/>
              </w:rPr>
              <w:t xml:space="preserve">  主要产品及生产规模</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581"/>
              <w:gridCol w:w="1025"/>
              <w:gridCol w:w="969"/>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73" w:type="pct"/>
                  <w:vAlign w:val="center"/>
                </w:tcPr>
                <w:p>
                  <w:pPr>
                    <w:jc w:val="center"/>
                    <w:rPr>
                      <w:rFonts w:cs="Times New Roman"/>
                      <w:sz w:val="21"/>
                      <w:u w:val="single"/>
                    </w:rPr>
                  </w:pPr>
                  <w:r>
                    <w:rPr>
                      <w:rFonts w:cs="Times New Roman"/>
                      <w:sz w:val="21"/>
                      <w:u w:val="single"/>
                    </w:rPr>
                    <w:t>序号</w:t>
                  </w:r>
                </w:p>
              </w:tc>
              <w:tc>
                <w:tcPr>
                  <w:tcW w:w="953" w:type="pct"/>
                  <w:vAlign w:val="center"/>
                </w:tcPr>
                <w:p>
                  <w:pPr>
                    <w:jc w:val="center"/>
                    <w:rPr>
                      <w:rFonts w:cs="Times New Roman"/>
                      <w:sz w:val="21"/>
                      <w:u w:val="single"/>
                    </w:rPr>
                  </w:pPr>
                  <w:r>
                    <w:rPr>
                      <w:rFonts w:cs="Times New Roman"/>
                      <w:sz w:val="21"/>
                      <w:u w:val="single"/>
                    </w:rPr>
                    <w:t>成品名称</w:t>
                  </w:r>
                </w:p>
              </w:tc>
              <w:tc>
                <w:tcPr>
                  <w:tcW w:w="618" w:type="pct"/>
                  <w:vAlign w:val="center"/>
                </w:tcPr>
                <w:p>
                  <w:pPr>
                    <w:jc w:val="center"/>
                    <w:rPr>
                      <w:rFonts w:cs="Times New Roman"/>
                      <w:sz w:val="21"/>
                      <w:u w:val="single"/>
                    </w:rPr>
                  </w:pPr>
                  <w:r>
                    <w:rPr>
                      <w:rFonts w:cs="Times New Roman"/>
                      <w:sz w:val="21"/>
                      <w:u w:val="single"/>
                    </w:rPr>
                    <w:t>单位</w:t>
                  </w:r>
                </w:p>
              </w:tc>
              <w:tc>
                <w:tcPr>
                  <w:tcW w:w="584" w:type="pct"/>
                  <w:vAlign w:val="center"/>
                </w:tcPr>
                <w:p>
                  <w:pPr>
                    <w:jc w:val="center"/>
                    <w:rPr>
                      <w:rFonts w:cs="Times New Roman"/>
                      <w:sz w:val="21"/>
                      <w:u w:val="single"/>
                    </w:rPr>
                  </w:pPr>
                  <w:r>
                    <w:rPr>
                      <w:rFonts w:cs="Times New Roman"/>
                      <w:sz w:val="21"/>
                      <w:u w:val="single"/>
                    </w:rPr>
                    <w:t>产量</w:t>
                  </w:r>
                </w:p>
              </w:tc>
              <w:tc>
                <w:tcPr>
                  <w:tcW w:w="3935" w:type="dxa"/>
                  <w:vAlign w:val="center"/>
                </w:tcPr>
                <w:p>
                  <w:pPr>
                    <w:jc w:val="center"/>
                    <w:rPr>
                      <w:rFonts w:cs="Times New Roman"/>
                      <w:sz w:val="21"/>
                      <w:u w:val="single"/>
                    </w:rPr>
                  </w:pPr>
                  <w:r>
                    <w:rPr>
                      <w:rFonts w:hAnsi="宋体" w:eastAsia="宋体" w:cs="Times New Roman"/>
                      <w:color w:val="000000"/>
                      <w:sz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73" w:type="pct"/>
                  <w:vAlign w:val="center"/>
                </w:tcPr>
                <w:p>
                  <w:pPr>
                    <w:jc w:val="center"/>
                    <w:rPr>
                      <w:rFonts w:cs="Times New Roman"/>
                      <w:sz w:val="21"/>
                      <w:u w:val="single"/>
                    </w:rPr>
                  </w:pPr>
                  <w:r>
                    <w:rPr>
                      <w:rFonts w:cs="Times New Roman"/>
                      <w:sz w:val="21"/>
                      <w:u w:val="single"/>
                    </w:rPr>
                    <w:t>1</w:t>
                  </w:r>
                </w:p>
              </w:tc>
              <w:tc>
                <w:tcPr>
                  <w:tcW w:w="953" w:type="pct"/>
                  <w:vAlign w:val="center"/>
                </w:tcPr>
                <w:p>
                  <w:pPr>
                    <w:jc w:val="center"/>
                    <w:rPr>
                      <w:rFonts w:cs="Times New Roman"/>
                      <w:sz w:val="21"/>
                      <w:u w:val="single"/>
                    </w:rPr>
                  </w:pPr>
                  <w:r>
                    <w:rPr>
                      <w:rFonts w:cs="Times New Roman"/>
                      <w:sz w:val="21"/>
                      <w:u w:val="single"/>
                    </w:rPr>
                    <w:t>商品混凝土</w:t>
                  </w:r>
                </w:p>
              </w:tc>
              <w:tc>
                <w:tcPr>
                  <w:tcW w:w="618" w:type="pct"/>
                  <w:vAlign w:val="center"/>
                </w:tcPr>
                <w:p>
                  <w:pPr>
                    <w:jc w:val="center"/>
                    <w:rPr>
                      <w:rFonts w:cs="Times New Roman"/>
                      <w:sz w:val="21"/>
                      <w:u w:val="single"/>
                    </w:rPr>
                  </w:pPr>
                  <w:r>
                    <w:rPr>
                      <w:rFonts w:cs="Times New Roman"/>
                      <w:sz w:val="21"/>
                      <w:u w:val="single"/>
                    </w:rPr>
                    <w:t>万m</w:t>
                  </w:r>
                  <w:r>
                    <w:rPr>
                      <w:rFonts w:cs="Times New Roman"/>
                      <w:sz w:val="21"/>
                      <w:u w:val="single"/>
                      <w:vertAlign w:val="superscript"/>
                    </w:rPr>
                    <w:t>3</w:t>
                  </w:r>
                  <w:r>
                    <w:rPr>
                      <w:rFonts w:cs="Times New Roman"/>
                      <w:sz w:val="21"/>
                      <w:u w:val="single"/>
                    </w:rPr>
                    <w:t>/年</w:t>
                  </w:r>
                </w:p>
              </w:tc>
              <w:tc>
                <w:tcPr>
                  <w:tcW w:w="584" w:type="pct"/>
                  <w:vAlign w:val="center"/>
                </w:tcPr>
                <w:p>
                  <w:pPr>
                    <w:jc w:val="center"/>
                    <w:rPr>
                      <w:rFonts w:cs="Times New Roman"/>
                      <w:sz w:val="21"/>
                      <w:u w:val="single"/>
                    </w:rPr>
                  </w:pPr>
                  <w:r>
                    <w:rPr>
                      <w:rFonts w:cs="Times New Roman"/>
                      <w:sz w:val="21"/>
                      <w:u w:val="single"/>
                    </w:rPr>
                    <w:t>90</w:t>
                  </w:r>
                </w:p>
              </w:tc>
              <w:tc>
                <w:tcPr>
                  <w:tcW w:w="3935" w:type="dxa"/>
                  <w:vAlign w:val="center"/>
                </w:tcPr>
                <w:p>
                  <w:pPr>
                    <w:jc w:val="center"/>
                    <w:rPr>
                      <w:rFonts w:hint="eastAsia" w:eastAsia="宋体" w:cs="Times New Roman"/>
                      <w:sz w:val="21"/>
                      <w:u w:val="single"/>
                      <w:lang w:val="en-US" w:eastAsia="zh-CN"/>
                    </w:rPr>
                  </w:pPr>
                  <w:r>
                    <w:rPr>
                      <w:rFonts w:eastAsia="宋体" w:cs="Times New Roman"/>
                      <w:color w:val="000000"/>
                      <w:sz w:val="21"/>
                      <w:u w:val="single"/>
                    </w:rPr>
                    <w:t>C10-C60</w:t>
                  </w:r>
                  <w:r>
                    <w:rPr>
                      <w:rFonts w:hint="eastAsia" w:eastAsia="宋体" w:cs="Times New Roman"/>
                      <w:color w:val="000000"/>
                      <w:sz w:val="21"/>
                      <w:u w:val="single"/>
                      <w:lang w:eastAsia="zh-CN"/>
                    </w:rPr>
                    <w:t>，一立方米等于2</w:t>
                  </w:r>
                  <w:r>
                    <w:rPr>
                      <w:rFonts w:hint="eastAsia" w:eastAsia="宋体" w:cs="Times New Roman"/>
                      <w:color w:val="000000"/>
                      <w:sz w:val="21"/>
                      <w:u w:val="single"/>
                      <w:lang w:val="en-US" w:eastAsia="zh-CN"/>
                    </w:rPr>
                    <w:t>.</w:t>
                  </w:r>
                  <w:r>
                    <w:rPr>
                      <w:rFonts w:hint="eastAsia" w:eastAsia="宋体" w:cs="Times New Roman"/>
                      <w:color w:val="000000"/>
                      <w:sz w:val="21"/>
                      <w:u w:val="single"/>
                      <w:lang w:eastAsia="zh-CN"/>
                    </w:rPr>
                    <w:t>378</w:t>
                  </w:r>
                  <w:r>
                    <w:rPr>
                      <w:rFonts w:hint="eastAsia" w:eastAsia="宋体" w:cs="Times New Roman"/>
                      <w:color w:val="000000"/>
                      <w:sz w:val="21"/>
                      <w:u w:val="single"/>
                      <w:lang w:val="en-US" w:eastAsia="zh-CN"/>
                    </w:rPr>
                    <w:t>t，则本项目共计2140200t</w:t>
                  </w:r>
                </w:p>
              </w:tc>
            </w:tr>
          </w:tbl>
          <w:p>
            <w:pPr>
              <w:ind w:firstLine="480" w:firstLineChars="200"/>
              <w:rPr>
                <w:rFonts w:cs="Times New Roman"/>
              </w:rPr>
            </w:pPr>
            <w:r>
              <w:rPr>
                <w:rFonts w:cs="Times New Roman"/>
              </w:rPr>
              <w:t>（2）建设内容</w:t>
            </w:r>
          </w:p>
          <w:p>
            <w:pPr>
              <w:spacing w:line="360" w:lineRule="auto"/>
              <w:ind w:firstLine="480" w:firstLineChars="200"/>
              <w:rPr>
                <w:rFonts w:cs="Times New Roman"/>
                <w:color w:val="FF0000"/>
              </w:rPr>
            </w:pPr>
            <w:r>
              <w:rPr>
                <w:rFonts w:cs="Times New Roman"/>
                <w:color w:val="36363D"/>
              </w:rPr>
              <w:t>湖南岳阳南方新材料科技有限公司拟在</w:t>
            </w:r>
            <w:r>
              <w:rPr>
                <w:rFonts w:cs="Times New Roman"/>
                <w:color w:val="000000" w:themeColor="text1"/>
              </w:rPr>
              <w:t>湖南省岳阳市临港新区长江大道东侧，江一路南侧建设</w:t>
            </w:r>
            <w:r>
              <w:rPr>
                <w:rFonts w:cs="Times New Roman"/>
                <w:szCs w:val="24"/>
                <w:shd w:val="clear" w:color="auto" w:fill="FFFFFF"/>
              </w:rPr>
              <w:t>商品混凝土建设项目，</w:t>
            </w:r>
            <w:r>
              <w:rPr>
                <w:rFonts w:cs="Times New Roman"/>
              </w:rPr>
              <w:t>主要建设内容包括预拌混凝土生产线2条，详细建设内容见</w:t>
            </w:r>
            <w:r>
              <w:rPr>
                <w:rFonts w:cs="Times New Roman"/>
              </w:rPr>
              <w:fldChar w:fldCharType="begin"/>
            </w:r>
            <w:r>
              <w:rPr>
                <w:rFonts w:cs="Times New Roman"/>
              </w:rPr>
              <w:instrText xml:space="preserve"> REF _Ref13038993 \h  \* MERGEFORMAT </w:instrText>
            </w:r>
            <w:r>
              <w:rPr>
                <w:rFonts w:cs="Times New Roman"/>
              </w:rPr>
              <w:fldChar w:fldCharType="separate"/>
            </w:r>
            <w:r>
              <w:rPr>
                <w:rFonts w:cs="Times New Roman"/>
                <w:color w:val="000000" w:themeColor="text1"/>
              </w:rPr>
              <w:t>表1.3</w:t>
            </w:r>
            <w:r>
              <w:rPr>
                <w:rFonts w:cs="Times New Roman"/>
                <w:color w:val="000000" w:themeColor="text1"/>
              </w:rPr>
              <w:noBreakHyphen/>
            </w:r>
            <w:r>
              <w:rPr>
                <w:rFonts w:cs="Times New Roman"/>
                <w:color w:val="000000" w:themeColor="text1"/>
              </w:rPr>
              <w:t>2</w:t>
            </w:r>
            <w:r>
              <w:rPr>
                <w:rFonts w:cs="Times New Roman"/>
                <w:color w:val="000000" w:themeColor="text1"/>
              </w:rPr>
              <w:fldChar w:fldCharType="end"/>
            </w:r>
            <w:r>
              <w:rPr>
                <w:rFonts w:cs="Times New Roman"/>
                <w:color w:val="000000" w:themeColor="text1"/>
              </w:rPr>
              <w:t>。</w:t>
            </w:r>
          </w:p>
          <w:p>
            <w:pPr>
              <w:pStyle w:val="15"/>
              <w:spacing w:line="240" w:lineRule="auto"/>
              <w:rPr>
                <w:rFonts w:cs="Times New Roman" w:eastAsiaTheme="minorEastAsia"/>
                <w:sz w:val="21"/>
                <w:szCs w:val="21"/>
              </w:rPr>
            </w:pPr>
            <w:bookmarkStart w:id="2" w:name="_Ref13038993"/>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1.3</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2</w:t>
            </w:r>
            <w:r>
              <w:rPr>
                <w:rFonts w:cs="Times New Roman" w:eastAsiaTheme="minorEastAsia"/>
                <w:sz w:val="21"/>
                <w:szCs w:val="21"/>
              </w:rPr>
              <w:fldChar w:fldCharType="end"/>
            </w:r>
            <w:bookmarkEnd w:id="2"/>
            <w:r>
              <w:rPr>
                <w:rFonts w:cs="Times New Roman" w:eastAsiaTheme="minorEastAsia"/>
                <w:sz w:val="21"/>
                <w:szCs w:val="21"/>
              </w:rPr>
              <w:t xml:space="preserve">  项目组成基本情况一览表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426"/>
              <w:gridCol w:w="1029"/>
              <w:gridCol w:w="5315"/>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tcBorders>
                    <w:top w:val="single" w:color="auto" w:sz="4" w:space="0"/>
                    <w:left w:val="single" w:color="auto" w:sz="4" w:space="0"/>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分类</w:t>
                  </w:r>
                </w:p>
              </w:tc>
              <w:tc>
                <w:tcPr>
                  <w:tcW w:w="1455" w:type="dxa"/>
                  <w:gridSpan w:val="2"/>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建设内容</w:t>
                  </w:r>
                </w:p>
              </w:tc>
              <w:tc>
                <w:tcPr>
                  <w:tcW w:w="5315" w:type="dxa"/>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建筑面积及设备配置</w:t>
                  </w:r>
                </w:p>
              </w:tc>
              <w:tc>
                <w:tcPr>
                  <w:tcW w:w="733" w:type="dxa"/>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796" w:type="dxa"/>
                  <w:tcBorders>
                    <w:top w:val="single" w:color="auto" w:sz="4" w:space="0"/>
                    <w:left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主体工程</w:t>
                  </w:r>
                </w:p>
              </w:tc>
              <w:tc>
                <w:tcPr>
                  <w:tcW w:w="1455" w:type="dxa"/>
                  <w:gridSpan w:val="2"/>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预拌混凝土生产线</w:t>
                  </w:r>
                </w:p>
              </w:tc>
              <w:tc>
                <w:tcPr>
                  <w:tcW w:w="5315" w:type="dxa"/>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生产线2条（</w:t>
                  </w:r>
                  <w:r>
                    <w:rPr>
                      <w:rFonts w:cs="Times New Roman"/>
                      <w:sz w:val="21"/>
                      <w:u w:val="single"/>
                    </w:rPr>
                    <w:t>预拌混凝土生产线HZS180，包含两个混凝土搅拌站并且</w:t>
                  </w:r>
                  <w:r>
                    <w:rPr>
                      <w:rFonts w:cs="Times New Roman"/>
                      <w:color w:val="000000" w:themeColor="text1"/>
                      <w:sz w:val="21"/>
                      <w:u w:val="single"/>
                    </w:rPr>
                    <w:t>配置8个200t和2个100t原料罐，其中4个为水泥料罐，2个粉煤灰罐，2个矿粉罐，2个</w:t>
                  </w:r>
                  <w:r>
                    <w:rPr>
                      <w:rFonts w:hint="eastAsia" w:cs="Times New Roman"/>
                      <w:color w:val="000000" w:themeColor="text1"/>
                      <w:sz w:val="21"/>
                      <w:u w:val="single"/>
                    </w:rPr>
                    <w:t>外加剂罐</w:t>
                  </w:r>
                  <w:r>
                    <w:rPr>
                      <w:rFonts w:cs="Times New Roman"/>
                      <w:color w:val="000000" w:themeColor="text1"/>
                      <w:sz w:val="21"/>
                      <w:u w:val="single"/>
                    </w:rPr>
                    <w:t>），占地1031.39m</w:t>
                  </w:r>
                  <w:r>
                    <w:rPr>
                      <w:rFonts w:cs="Times New Roman"/>
                      <w:color w:val="000000" w:themeColor="text1"/>
                      <w:sz w:val="21"/>
                      <w:u w:val="single"/>
                      <w:vertAlign w:val="superscript"/>
                    </w:rPr>
                    <w:t>2</w:t>
                  </w:r>
                </w:p>
              </w:tc>
              <w:tc>
                <w:tcPr>
                  <w:tcW w:w="733" w:type="dxa"/>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p>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p>
                  <w:pPr>
                    <w:adjustRightInd w:val="0"/>
                    <w:snapToGrid w:val="0"/>
                    <w:jc w:val="center"/>
                    <w:rPr>
                      <w:rFonts w:cs="Times New Roman"/>
                      <w:color w:val="000000" w:themeColor="text1"/>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6" w:type="dxa"/>
                  <w:vMerge w:val="restart"/>
                  <w:tcBorders>
                    <w:top w:val="nil"/>
                    <w:left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辅助工程</w:t>
                  </w:r>
                </w:p>
              </w:tc>
              <w:tc>
                <w:tcPr>
                  <w:tcW w:w="1455"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综合楼</w:t>
                  </w:r>
                </w:p>
              </w:tc>
              <w:tc>
                <w:tcPr>
                  <w:tcW w:w="5315" w:type="dxa"/>
                  <w:tcBorders>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3层，占地364.08m</w:t>
                  </w:r>
                  <w:r>
                    <w:rPr>
                      <w:rFonts w:cs="Times New Roman"/>
                      <w:color w:val="000000" w:themeColor="text1"/>
                      <w:sz w:val="21"/>
                      <w:u w:val="single"/>
                      <w:vertAlign w:val="superscript"/>
                    </w:rPr>
                    <w:t>2</w:t>
                  </w:r>
                  <w:r>
                    <w:rPr>
                      <w:rFonts w:cs="Times New Roman"/>
                      <w:color w:val="000000" w:themeColor="text1"/>
                      <w:sz w:val="21"/>
                      <w:u w:val="single"/>
                    </w:rPr>
                    <w:t>，办公区域</w:t>
                  </w:r>
                </w:p>
              </w:tc>
              <w:tc>
                <w:tcPr>
                  <w:tcW w:w="733"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门卫室及地磅</w:t>
                  </w:r>
                </w:p>
              </w:tc>
              <w:tc>
                <w:tcPr>
                  <w:tcW w:w="5315" w:type="dxa"/>
                  <w:tcBorders>
                    <w:left w:val="nil"/>
                    <w:bottom w:val="single" w:color="auto" w:sz="4" w:space="0"/>
                    <w:right w:val="single" w:color="auto" w:sz="4" w:space="0"/>
                  </w:tcBorders>
                  <w:vAlign w:val="center"/>
                </w:tcPr>
                <w:p>
                  <w:pPr>
                    <w:pStyle w:val="15"/>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color w:val="000000" w:themeColor="text1"/>
                      <w:sz w:val="21"/>
                      <w:szCs w:val="21"/>
                      <w:u w:val="single"/>
                    </w:rPr>
                    <w:t>1层，占地135.35m</w:t>
                  </w:r>
                  <w:r>
                    <w:rPr>
                      <w:rFonts w:cs="Times New Roman" w:eastAsiaTheme="minorEastAsia"/>
                      <w:b w:val="0"/>
                      <w:color w:val="000000" w:themeColor="text1"/>
                      <w:sz w:val="21"/>
                      <w:szCs w:val="21"/>
                      <w:u w:val="single"/>
                      <w:vertAlign w:val="superscript"/>
                    </w:rPr>
                    <w:t>2</w:t>
                  </w:r>
                </w:p>
              </w:tc>
              <w:tc>
                <w:tcPr>
                  <w:tcW w:w="733"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themeColor="text1"/>
                      <w:sz w:val="21"/>
                      <w:u w:val="single"/>
                    </w:rPr>
                  </w:pPr>
                </w:p>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p>
                  <w:pPr>
                    <w:adjustRightInd w:val="0"/>
                    <w:snapToGrid w:val="0"/>
                    <w:jc w:val="center"/>
                    <w:rPr>
                      <w:rFonts w:cs="Times New Roman"/>
                      <w:color w:val="000000" w:themeColor="text1"/>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柴油发电机房</w:t>
                  </w:r>
                </w:p>
              </w:tc>
              <w:tc>
                <w:tcPr>
                  <w:tcW w:w="5315" w:type="dxa"/>
                  <w:tcBorders>
                    <w:top w:val="single" w:color="auto" w:sz="4" w:space="0"/>
                    <w:left w:val="nil"/>
                    <w:right w:val="single" w:color="auto" w:sz="4" w:space="0"/>
                  </w:tcBorders>
                  <w:vAlign w:val="center"/>
                </w:tcPr>
                <w:p>
                  <w:pPr>
                    <w:pStyle w:val="15"/>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color w:val="000000" w:themeColor="text1"/>
                      <w:sz w:val="21"/>
                      <w:szCs w:val="21"/>
                      <w:u w:val="single"/>
                    </w:rPr>
                    <w:t>1层，占地48.94m</w:t>
                  </w:r>
                  <w:r>
                    <w:rPr>
                      <w:rFonts w:cs="Times New Roman" w:eastAsiaTheme="minorEastAsia"/>
                      <w:b w:val="0"/>
                      <w:color w:val="000000" w:themeColor="text1"/>
                      <w:sz w:val="21"/>
                      <w:szCs w:val="21"/>
                      <w:u w:val="single"/>
                      <w:vertAlign w:val="superscript"/>
                    </w:rPr>
                    <w:t>2</w:t>
                  </w:r>
                </w:p>
              </w:tc>
              <w:tc>
                <w:tcPr>
                  <w:tcW w:w="733" w:type="dxa"/>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p>
                  <w:pPr>
                    <w:adjustRightInd w:val="0"/>
                    <w:snapToGrid w:val="0"/>
                    <w:jc w:val="center"/>
                    <w:rPr>
                      <w:rFonts w:cs="Times New Roman"/>
                      <w:color w:val="000000" w:themeColor="text1"/>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配电、机修仓库</w:t>
                  </w:r>
                </w:p>
              </w:tc>
              <w:tc>
                <w:tcPr>
                  <w:tcW w:w="5315" w:type="dxa"/>
                  <w:tcBorders>
                    <w:left w:val="nil"/>
                    <w:right w:val="single" w:color="auto" w:sz="4" w:space="0"/>
                  </w:tcBorders>
                  <w:vAlign w:val="center"/>
                </w:tcPr>
                <w:p>
                  <w:pPr>
                    <w:pStyle w:val="15"/>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color w:val="000000" w:themeColor="text1"/>
                      <w:sz w:val="21"/>
                      <w:szCs w:val="21"/>
                      <w:u w:val="single"/>
                    </w:rPr>
                    <w:t>1层，占地177.78m</w:t>
                  </w:r>
                  <w:r>
                    <w:rPr>
                      <w:rFonts w:cs="Times New Roman" w:eastAsiaTheme="minorEastAsia"/>
                      <w:b w:val="0"/>
                      <w:color w:val="000000" w:themeColor="text1"/>
                      <w:sz w:val="21"/>
                      <w:szCs w:val="21"/>
                      <w:u w:val="single"/>
                      <w:vertAlign w:val="superscript"/>
                    </w:rPr>
                    <w:t>2</w:t>
                  </w:r>
                </w:p>
              </w:tc>
              <w:tc>
                <w:tcPr>
                  <w:tcW w:w="733" w:type="dxa"/>
                  <w:tcBorders>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停车位</w:t>
                  </w:r>
                </w:p>
              </w:tc>
              <w:tc>
                <w:tcPr>
                  <w:tcW w:w="5315" w:type="dxa"/>
                  <w:tcBorders>
                    <w:left w:val="nil"/>
                    <w:right w:val="single" w:color="auto" w:sz="4" w:space="0"/>
                  </w:tcBorders>
                  <w:vAlign w:val="center"/>
                </w:tcPr>
                <w:p>
                  <w:pPr>
                    <w:jc w:val="center"/>
                    <w:rPr>
                      <w:rFonts w:cs="Times New Roman"/>
                      <w:color w:val="000000" w:themeColor="text1"/>
                      <w:sz w:val="21"/>
                      <w:u w:val="single"/>
                    </w:rPr>
                  </w:pPr>
                  <w:r>
                    <w:rPr>
                      <w:rFonts w:cs="Times New Roman"/>
                      <w:color w:val="000000" w:themeColor="text1"/>
                      <w:sz w:val="21"/>
                      <w:u w:val="single"/>
                    </w:rPr>
                    <w:t>大车停车位8个，用于停放混凝土罐车；轿车停车位20个，用于停放小车车辆。</w:t>
                  </w:r>
                </w:p>
              </w:tc>
              <w:tc>
                <w:tcPr>
                  <w:tcW w:w="733" w:type="dxa"/>
                  <w:tcBorders>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96" w:type="dxa"/>
                  <w:vMerge w:val="restart"/>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r>
                    <w:rPr>
                      <w:rFonts w:hint="eastAsia" w:cs="Times New Roman"/>
                      <w:color w:val="000000" w:themeColor="text1"/>
                      <w:sz w:val="21"/>
                      <w:u w:val="single"/>
                    </w:rPr>
                    <w:t>储运工程</w:t>
                  </w:r>
                </w:p>
              </w:tc>
              <w:tc>
                <w:tcPr>
                  <w:tcW w:w="1455" w:type="dxa"/>
                  <w:gridSpan w:val="2"/>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全封闭砂石料堆场</w:t>
                  </w:r>
                </w:p>
              </w:tc>
              <w:tc>
                <w:tcPr>
                  <w:tcW w:w="5315" w:type="dxa"/>
                  <w:tcBorders>
                    <w:left w:val="nil"/>
                    <w:right w:val="single" w:color="auto" w:sz="4" w:space="0"/>
                  </w:tcBorders>
                  <w:vAlign w:val="center"/>
                </w:tcPr>
                <w:p>
                  <w:pPr>
                    <w:jc w:val="center"/>
                    <w:rPr>
                      <w:rFonts w:cs="Times New Roman"/>
                      <w:color w:val="000000" w:themeColor="text1"/>
                      <w:sz w:val="21"/>
                      <w:u w:val="single"/>
                    </w:rPr>
                  </w:pPr>
                  <w:r>
                    <w:rPr>
                      <w:rFonts w:cs="Times New Roman"/>
                      <w:color w:val="000000" w:themeColor="text1"/>
                      <w:sz w:val="21"/>
                      <w:u w:val="single"/>
                    </w:rPr>
                    <w:t>1层，占地2035m</w:t>
                  </w:r>
                  <w:r>
                    <w:rPr>
                      <w:rFonts w:cs="Times New Roman"/>
                      <w:color w:val="000000" w:themeColor="text1"/>
                      <w:sz w:val="21"/>
                      <w:u w:val="single"/>
                      <w:vertAlign w:val="superscript"/>
                    </w:rPr>
                    <w:t>2</w:t>
                  </w:r>
                </w:p>
              </w:tc>
              <w:tc>
                <w:tcPr>
                  <w:tcW w:w="733" w:type="dxa"/>
                  <w:tcBorders>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hint="eastAsia" w:cs="Times New Roman"/>
                      <w:color w:val="000000" w:themeColor="text1"/>
                      <w:sz w:val="21"/>
                      <w:u w:val="single"/>
                    </w:rPr>
                    <w:t>水泥筒仓</w:t>
                  </w:r>
                </w:p>
              </w:tc>
              <w:tc>
                <w:tcPr>
                  <w:tcW w:w="5315" w:type="dxa"/>
                  <w:tcBorders>
                    <w:left w:val="nil"/>
                    <w:right w:val="single" w:color="auto" w:sz="4" w:space="0"/>
                  </w:tcBorders>
                  <w:vAlign w:val="center"/>
                </w:tcPr>
                <w:p>
                  <w:pPr>
                    <w:jc w:val="center"/>
                    <w:rPr>
                      <w:rFonts w:cs="Times New Roman"/>
                      <w:color w:val="000000" w:themeColor="text1"/>
                      <w:sz w:val="21"/>
                      <w:u w:val="single"/>
                    </w:rPr>
                  </w:pPr>
                  <w:r>
                    <w:rPr>
                      <w:rFonts w:hint="eastAsia" w:cs="Times New Roman"/>
                      <w:color w:val="000000" w:themeColor="text1"/>
                      <w:sz w:val="21"/>
                      <w:u w:val="single"/>
                    </w:rPr>
                    <w:t>4个，容量为200t/个，筒仓高27m</w:t>
                  </w:r>
                </w:p>
              </w:tc>
              <w:tc>
                <w:tcPr>
                  <w:tcW w:w="733" w:type="dxa"/>
                  <w:tcBorders>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hint="eastAsia" w:cs="Times New Roman"/>
                      <w:color w:val="000000" w:themeColor="text1"/>
                      <w:sz w:val="21"/>
                      <w:u w:val="single"/>
                    </w:rPr>
                    <w:t>矿粉筒仓</w:t>
                  </w:r>
                </w:p>
              </w:tc>
              <w:tc>
                <w:tcPr>
                  <w:tcW w:w="5315" w:type="dxa"/>
                  <w:tcBorders>
                    <w:left w:val="nil"/>
                    <w:right w:val="single" w:color="auto" w:sz="4" w:space="0"/>
                  </w:tcBorders>
                  <w:vAlign w:val="center"/>
                </w:tcPr>
                <w:p>
                  <w:pPr>
                    <w:jc w:val="center"/>
                    <w:rPr>
                      <w:rFonts w:cs="Times New Roman"/>
                      <w:color w:val="000000" w:themeColor="text1"/>
                      <w:sz w:val="21"/>
                      <w:u w:val="single"/>
                    </w:rPr>
                  </w:pPr>
                  <w:r>
                    <w:rPr>
                      <w:rFonts w:hint="eastAsia" w:cs="Times New Roman"/>
                      <w:color w:val="000000" w:themeColor="text1"/>
                      <w:sz w:val="21"/>
                      <w:u w:val="single"/>
                    </w:rPr>
                    <w:t>2个，容量为200t/个，筒仓高27m</w:t>
                  </w:r>
                </w:p>
              </w:tc>
              <w:tc>
                <w:tcPr>
                  <w:tcW w:w="733" w:type="dxa"/>
                  <w:tcBorders>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hint="eastAsia" w:cs="Times New Roman"/>
                      <w:color w:val="000000" w:themeColor="text1"/>
                      <w:sz w:val="21"/>
                      <w:u w:val="single"/>
                    </w:rPr>
                    <w:t>粉煤灰筒仓</w:t>
                  </w:r>
                </w:p>
              </w:tc>
              <w:tc>
                <w:tcPr>
                  <w:tcW w:w="5315" w:type="dxa"/>
                  <w:tcBorders>
                    <w:left w:val="nil"/>
                    <w:right w:val="single" w:color="auto" w:sz="4" w:space="0"/>
                  </w:tcBorders>
                  <w:vAlign w:val="center"/>
                </w:tcPr>
                <w:p>
                  <w:pPr>
                    <w:jc w:val="center"/>
                    <w:rPr>
                      <w:rFonts w:cs="Times New Roman"/>
                      <w:color w:val="000000" w:themeColor="text1"/>
                      <w:sz w:val="21"/>
                      <w:u w:val="single"/>
                    </w:rPr>
                  </w:pPr>
                  <w:r>
                    <w:rPr>
                      <w:rFonts w:hint="eastAsia" w:cs="Times New Roman"/>
                      <w:color w:val="000000" w:themeColor="text1"/>
                      <w:sz w:val="21"/>
                      <w:u w:val="single"/>
                    </w:rPr>
                    <w:t>2个，容量为200t/个，筒仓高27m</w:t>
                  </w:r>
                </w:p>
              </w:tc>
              <w:tc>
                <w:tcPr>
                  <w:tcW w:w="733" w:type="dxa"/>
                  <w:tcBorders>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hint="eastAsia" w:cs="Times New Roman"/>
                      <w:color w:val="000000" w:themeColor="text1"/>
                      <w:sz w:val="21"/>
                      <w:u w:val="single"/>
                    </w:rPr>
                    <w:t>外加剂筒仓</w:t>
                  </w:r>
                </w:p>
              </w:tc>
              <w:tc>
                <w:tcPr>
                  <w:tcW w:w="5315" w:type="dxa"/>
                  <w:tcBorders>
                    <w:left w:val="nil"/>
                    <w:right w:val="single" w:color="auto" w:sz="4" w:space="0"/>
                  </w:tcBorders>
                  <w:vAlign w:val="center"/>
                </w:tcPr>
                <w:p>
                  <w:pPr>
                    <w:jc w:val="center"/>
                    <w:rPr>
                      <w:rFonts w:cs="Times New Roman"/>
                      <w:color w:val="000000" w:themeColor="text1"/>
                      <w:sz w:val="21"/>
                      <w:u w:val="single"/>
                    </w:rPr>
                  </w:pPr>
                  <w:r>
                    <w:rPr>
                      <w:rFonts w:hint="eastAsia" w:cs="Times New Roman"/>
                      <w:color w:val="000000" w:themeColor="text1"/>
                      <w:sz w:val="21"/>
                      <w:u w:val="single"/>
                    </w:rPr>
                    <w:t>2个，容量为100t/个，筒仓高27m</w:t>
                  </w:r>
                </w:p>
              </w:tc>
              <w:tc>
                <w:tcPr>
                  <w:tcW w:w="733" w:type="dxa"/>
                  <w:tcBorders>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restart"/>
                  <w:tcBorders>
                    <w:top w:val="nil"/>
                    <w:left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公用工程</w:t>
                  </w:r>
                </w:p>
              </w:tc>
              <w:tc>
                <w:tcPr>
                  <w:tcW w:w="1455" w:type="dxa"/>
                  <w:gridSpan w:val="2"/>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供水系统</w:t>
                  </w:r>
                </w:p>
              </w:tc>
              <w:tc>
                <w:tcPr>
                  <w:tcW w:w="6048" w:type="dxa"/>
                  <w:gridSpan w:val="2"/>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color w:val="000000" w:themeColor="text1"/>
                      <w:sz w:val="21"/>
                      <w:szCs w:val="21"/>
                      <w:u w:val="single"/>
                    </w:rPr>
                    <w:t>本工程水源为由岳阳市一水厂供应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排水系统</w:t>
                  </w:r>
                </w:p>
              </w:tc>
              <w:tc>
                <w:tcPr>
                  <w:tcW w:w="6048" w:type="dxa"/>
                  <w:gridSpan w:val="2"/>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color w:val="000000" w:themeColor="text1"/>
                      <w:sz w:val="21"/>
                      <w:szCs w:val="21"/>
                      <w:u w:val="single"/>
                    </w:rPr>
                    <w:t>本项目采用雨污分流制；厂区设置了食堂及宿舍，生活废水经隔油池及化粪池处理后排入湖南城陵矶临港产业新区污水处理厂处理；生产废水经厂区内设置的沉淀池沉淀处理后循环使用不外排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6" w:type="dxa"/>
                  <w:vMerge w:val="continue"/>
                  <w:tcBorders>
                    <w:left w:val="single" w:color="auto" w:sz="4" w:space="0"/>
                    <w:bottom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bCs/>
                      <w:color w:val="000000" w:themeColor="text1"/>
                      <w:sz w:val="21"/>
                      <w:szCs w:val="21"/>
                      <w:u w:val="single"/>
                    </w:rPr>
                  </w:pPr>
                  <w:r>
                    <w:rPr>
                      <w:rFonts w:cs="Times New Roman" w:eastAsiaTheme="minorEastAsia"/>
                      <w:b w:val="0"/>
                      <w:bCs/>
                      <w:color w:val="000000" w:themeColor="text1"/>
                      <w:sz w:val="21"/>
                      <w:szCs w:val="21"/>
                      <w:u w:val="single"/>
                    </w:rPr>
                    <w:t>供电系统</w:t>
                  </w:r>
                </w:p>
              </w:tc>
              <w:tc>
                <w:tcPr>
                  <w:tcW w:w="6048" w:type="dxa"/>
                  <w:gridSpan w:val="2"/>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color w:val="000000" w:themeColor="text1"/>
                      <w:sz w:val="21"/>
                      <w:u w:val="single"/>
                    </w:rPr>
                    <w:t>市区内现有华能岳阳电厂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96" w:type="dxa"/>
                  <w:vMerge w:val="restart"/>
                  <w:tcBorders>
                    <w:top w:val="nil"/>
                    <w:left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环保工程</w:t>
                  </w:r>
                </w:p>
              </w:tc>
              <w:tc>
                <w:tcPr>
                  <w:tcW w:w="1455" w:type="dxa"/>
                  <w:gridSpan w:val="2"/>
                  <w:tcBorders>
                    <w:top w:val="single" w:color="auto" w:sz="4" w:space="0"/>
                    <w:left w:val="nil"/>
                    <w:right w:val="single" w:color="auto" w:sz="4" w:space="0"/>
                  </w:tcBorders>
                  <w:vAlign w:val="center"/>
                </w:tcPr>
                <w:p>
                  <w:pPr>
                    <w:pStyle w:val="63"/>
                    <w:adjustRightInd w:val="0"/>
                    <w:snapToGrid w:val="0"/>
                    <w:spacing w:line="240" w:lineRule="auto"/>
                    <w:rPr>
                      <w:rFonts w:eastAsiaTheme="minorEastAsia"/>
                      <w:color w:val="000000" w:themeColor="text1"/>
                      <w:szCs w:val="21"/>
                      <w:u w:val="single"/>
                    </w:rPr>
                  </w:pPr>
                  <w:r>
                    <w:rPr>
                      <w:rFonts w:eastAsiaTheme="minorEastAsia"/>
                      <w:bCs/>
                      <w:color w:val="000000" w:themeColor="text1"/>
                      <w:szCs w:val="21"/>
                      <w:u w:val="single"/>
                    </w:rPr>
                    <w:t>废气处理</w:t>
                  </w:r>
                </w:p>
              </w:tc>
              <w:tc>
                <w:tcPr>
                  <w:tcW w:w="6048" w:type="dxa"/>
                  <w:gridSpan w:val="2"/>
                  <w:tcBorders>
                    <w:top w:val="single" w:color="auto" w:sz="4" w:space="0"/>
                    <w:left w:val="nil"/>
                    <w:right w:val="single" w:color="auto" w:sz="4" w:space="0"/>
                  </w:tcBorders>
                  <w:vAlign w:val="center"/>
                </w:tcPr>
                <w:p>
                  <w:pPr>
                    <w:adjustRightInd w:val="0"/>
                    <w:snapToGrid w:val="0"/>
                    <w:jc w:val="center"/>
                    <w:rPr>
                      <w:rFonts w:cs="Times New Roman"/>
                      <w:color w:val="FF0000"/>
                      <w:u w:val="single"/>
                    </w:rPr>
                  </w:pPr>
                  <w:r>
                    <w:rPr>
                      <w:rFonts w:hint="eastAsia" w:cs="Times New Roman"/>
                      <w:color w:val="000000" w:themeColor="text1"/>
                      <w:kern w:val="0"/>
                      <w:sz w:val="21"/>
                      <w:u w:val="single"/>
                      <w:lang w:eastAsia="zh-CN"/>
                    </w:rPr>
                    <w:t>本项目厂区</w:t>
                  </w:r>
                  <w:r>
                    <w:rPr>
                      <w:rFonts w:cs="Times New Roman"/>
                      <w:color w:val="000000" w:themeColor="text1"/>
                      <w:kern w:val="0"/>
                      <w:sz w:val="21"/>
                      <w:u w:val="single"/>
                    </w:rPr>
                    <w:t>全封闭，并采用自动喷雾系统抑尘；混凝土搅拌机加料口</w:t>
                  </w:r>
                  <w:r>
                    <w:rPr>
                      <w:rFonts w:hint="eastAsia" w:cs="Times New Roman"/>
                      <w:color w:val="000000" w:themeColor="text1"/>
                      <w:kern w:val="0"/>
                      <w:sz w:val="21"/>
                      <w:u w:val="single"/>
                    </w:rPr>
                    <w:t>安装脉冲除尘器</w:t>
                  </w:r>
                  <w:r>
                    <w:rPr>
                      <w:rFonts w:cs="Times New Roman"/>
                      <w:color w:val="000000" w:themeColor="text1"/>
                      <w:kern w:val="0"/>
                      <w:sz w:val="21"/>
                      <w:u w:val="single"/>
                    </w:rPr>
                    <w:t>，</w:t>
                  </w:r>
                  <w:r>
                    <w:rPr>
                      <w:rFonts w:hint="eastAsia" w:cs="Times New Roman"/>
                      <w:color w:val="000000" w:themeColor="text1"/>
                      <w:kern w:val="0"/>
                      <w:sz w:val="21"/>
                      <w:u w:val="single"/>
                    </w:rPr>
                    <w:t>粉尘经</w:t>
                  </w:r>
                  <w:r>
                    <w:rPr>
                      <w:rFonts w:cs="Times New Roman"/>
                      <w:color w:val="000000" w:themeColor="text1"/>
                      <w:kern w:val="0"/>
                      <w:sz w:val="21"/>
                      <w:u w:val="single"/>
                    </w:rPr>
                    <w:t>处理后通过30m排气筒排放</w:t>
                  </w:r>
                  <w:r>
                    <w:rPr>
                      <w:rFonts w:hint="eastAsia" w:cs="Times New Roman"/>
                      <w:color w:val="000000" w:themeColor="text1"/>
                      <w:kern w:val="0"/>
                      <w:sz w:val="21"/>
                      <w:u w:val="single"/>
                    </w:rPr>
                    <w:t>，筒仓粉尘经脉冲除尘器处理后无组织排放，</w:t>
                  </w:r>
                  <w:r>
                    <w:rPr>
                      <w:rFonts w:cs="Times New Roman"/>
                      <w:color w:val="000000" w:themeColor="text1"/>
                      <w:kern w:val="0"/>
                      <w:sz w:val="21"/>
                      <w:u w:val="single"/>
                    </w:rPr>
                    <w:t>装卸料时</w:t>
                  </w:r>
                  <w:r>
                    <w:rPr>
                      <w:rFonts w:cs="Times New Roman"/>
                      <w:color w:val="000000" w:themeColor="text1"/>
                      <w:sz w:val="21"/>
                      <w:u w:val="single"/>
                    </w:rPr>
                    <w:t>采用移动式软管对石料洒水防尘措施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right w:val="single" w:color="000000"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废水处理</w:t>
                  </w:r>
                </w:p>
              </w:tc>
              <w:tc>
                <w:tcPr>
                  <w:tcW w:w="6048" w:type="dxa"/>
                  <w:gridSpan w:val="2"/>
                  <w:tcBorders>
                    <w:top w:val="single" w:color="auto" w:sz="4" w:space="0"/>
                    <w:left w:val="single" w:color="000000" w:sz="4" w:space="0"/>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FF"/>
                      <w:sz w:val="21"/>
                      <w:u w:val="single"/>
                    </w:rPr>
                    <w:t>项目生产废水经过收集后经</w:t>
                  </w:r>
                  <w:r>
                    <w:rPr>
                      <w:rFonts w:hint="eastAsia" w:cs="Times New Roman"/>
                      <w:color w:val="0000FF"/>
                      <w:sz w:val="21"/>
                      <w:u w:val="single"/>
                    </w:rPr>
                    <w:t>废水处理系统处理后</w:t>
                  </w:r>
                  <w:r>
                    <w:rPr>
                      <w:rFonts w:cs="Times New Roman"/>
                      <w:color w:val="0000FF"/>
                      <w:sz w:val="21"/>
                      <w:u w:val="single"/>
                    </w:rPr>
                    <w:t>循环使用不外排，储罐的总容积为80m</w:t>
                  </w:r>
                  <w:r>
                    <w:rPr>
                      <w:rFonts w:cs="Times New Roman"/>
                      <w:color w:val="0000FF"/>
                      <w:sz w:val="21"/>
                      <w:u w:val="single"/>
                      <w:vertAlign w:val="superscript"/>
                    </w:rPr>
                    <w:t>3</w:t>
                  </w:r>
                  <w:r>
                    <w:rPr>
                      <w:rFonts w:cs="Times New Roman"/>
                      <w:color w:val="000000" w:themeColor="text1"/>
                      <w:sz w:val="21"/>
                      <w:u w:val="single"/>
                    </w:rPr>
                    <w:t>；生活废水经隔油池及化粪池处理后排入湖南城陵矶临港产业新区污水处理厂处理；初期雨水经雨水收集池收集后作工艺用水循环使用，初期雨水沉淀池的面积为380m</w:t>
                  </w:r>
                  <w:r>
                    <w:rPr>
                      <w:rFonts w:cs="Times New Roman"/>
                      <w:color w:val="000000" w:themeColor="text1"/>
                      <w:sz w:val="21"/>
                      <w:u w:val="single"/>
                      <w:vertAlign w:val="superscript"/>
                    </w:rPr>
                    <w:t>3</w:t>
                  </w:r>
                  <w:r>
                    <w:rPr>
                      <w:rFonts w:cs="Times New Roman"/>
                      <w:color w:val="000000" w:themeColor="text1"/>
                      <w:sz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426" w:type="dxa"/>
                  <w:vMerge w:val="restart"/>
                  <w:tcBorders>
                    <w:top w:val="single" w:color="auto" w:sz="4" w:space="0"/>
                    <w:left w:val="nil"/>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固废处置</w:t>
                  </w:r>
                </w:p>
              </w:tc>
              <w:tc>
                <w:tcPr>
                  <w:tcW w:w="1029" w:type="dxa"/>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color w:val="000000" w:themeColor="text1"/>
                      <w:sz w:val="21"/>
                      <w:szCs w:val="21"/>
                      <w:u w:val="single"/>
                    </w:rPr>
                    <w:t>生活垃圾</w:t>
                  </w:r>
                </w:p>
              </w:tc>
              <w:tc>
                <w:tcPr>
                  <w:tcW w:w="6048"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生活垃圾统一收集后交由环卫部门处理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426" w:type="dxa"/>
                  <w:vMerge w:val="continue"/>
                  <w:tcBorders>
                    <w:left w:val="nil"/>
                    <w:right w:val="single" w:color="auto" w:sz="4" w:space="0"/>
                  </w:tcBorders>
                  <w:vAlign w:val="center"/>
                </w:tcPr>
                <w:p>
                  <w:pPr>
                    <w:pStyle w:val="15"/>
                    <w:autoSpaceDE w:val="0"/>
                    <w:adjustRightInd w:val="0"/>
                    <w:snapToGrid w:val="0"/>
                    <w:spacing w:line="240" w:lineRule="auto"/>
                    <w:rPr>
                      <w:rFonts w:cs="Times New Roman" w:eastAsiaTheme="minorEastAsia"/>
                      <w:b w:val="0"/>
                      <w:bCs/>
                      <w:color w:val="000000" w:themeColor="text1"/>
                      <w:sz w:val="21"/>
                      <w:szCs w:val="21"/>
                      <w:u w:val="single"/>
                    </w:rPr>
                  </w:pPr>
                </w:p>
              </w:tc>
              <w:tc>
                <w:tcPr>
                  <w:tcW w:w="1029" w:type="dxa"/>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color w:val="000000" w:themeColor="text1"/>
                      <w:sz w:val="21"/>
                      <w:szCs w:val="21"/>
                      <w:u w:val="single"/>
                    </w:rPr>
                    <w:t>危险废物</w:t>
                  </w:r>
                </w:p>
              </w:tc>
              <w:tc>
                <w:tcPr>
                  <w:tcW w:w="6048"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设置5m</w:t>
                  </w:r>
                  <w:r>
                    <w:rPr>
                      <w:rFonts w:cs="Times New Roman"/>
                      <w:color w:val="000000" w:themeColor="text1"/>
                      <w:sz w:val="21"/>
                      <w:u w:val="single"/>
                      <w:vertAlign w:val="superscript"/>
                    </w:rPr>
                    <w:t>3</w:t>
                  </w:r>
                  <w:r>
                    <w:rPr>
                      <w:rFonts w:cs="Times New Roman"/>
                      <w:color w:val="000000" w:themeColor="text1"/>
                      <w:sz w:val="21"/>
                      <w:u w:val="single"/>
                    </w:rPr>
                    <w:t>的危险废物暂存间，</w:t>
                  </w:r>
                  <w:r>
                    <w:rPr>
                      <w:rFonts w:hint="eastAsia" w:cs="Times New Roman"/>
                      <w:color w:val="000000" w:themeColor="text1"/>
                      <w:sz w:val="21"/>
                      <w:u w:val="single"/>
                      <w:lang w:eastAsia="zh-CN"/>
                    </w:rPr>
                    <w:t>废润滑油</w:t>
                  </w:r>
                  <w:r>
                    <w:rPr>
                      <w:rFonts w:cs="Times New Roman"/>
                      <w:color w:val="000000" w:themeColor="text1"/>
                      <w:sz w:val="21"/>
                      <w:u w:val="single"/>
                    </w:rPr>
                    <w:t>等危废暂存于危废暂存间后，统一交给有资质的单位进行处理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426" w:type="dxa"/>
                  <w:vMerge w:val="continue"/>
                  <w:tcBorders>
                    <w:left w:val="nil"/>
                    <w:bottom w:val="single" w:color="auto" w:sz="4" w:space="0"/>
                    <w:right w:val="single" w:color="auto" w:sz="4" w:space="0"/>
                  </w:tcBorders>
                  <w:vAlign w:val="center"/>
                </w:tcPr>
                <w:p>
                  <w:pPr>
                    <w:pStyle w:val="15"/>
                    <w:autoSpaceDE w:val="0"/>
                    <w:adjustRightInd w:val="0"/>
                    <w:snapToGrid w:val="0"/>
                    <w:spacing w:line="240" w:lineRule="auto"/>
                    <w:rPr>
                      <w:rFonts w:cs="Times New Roman" w:eastAsiaTheme="minorEastAsia"/>
                      <w:b w:val="0"/>
                      <w:bCs/>
                      <w:color w:val="000000" w:themeColor="text1"/>
                      <w:sz w:val="21"/>
                      <w:szCs w:val="21"/>
                      <w:u w:val="single"/>
                    </w:rPr>
                  </w:pPr>
                </w:p>
              </w:tc>
              <w:tc>
                <w:tcPr>
                  <w:tcW w:w="1029" w:type="dxa"/>
                  <w:tcBorders>
                    <w:top w:val="single" w:color="auto" w:sz="4" w:space="0"/>
                    <w:left w:val="nil"/>
                    <w:bottom w:val="single" w:color="auto" w:sz="4" w:space="0"/>
                    <w:right w:val="single" w:color="auto" w:sz="4" w:space="0"/>
                  </w:tcBorders>
                  <w:vAlign w:val="center"/>
                </w:tcPr>
                <w:p>
                  <w:pPr>
                    <w:pStyle w:val="15"/>
                    <w:autoSpaceDE w:val="0"/>
                    <w:adjustRightInd w:val="0"/>
                    <w:snapToGrid w:val="0"/>
                    <w:spacing w:line="240" w:lineRule="auto"/>
                    <w:rPr>
                      <w:rFonts w:hint="eastAsia" w:cs="Times New Roman" w:eastAsiaTheme="minorEastAsia"/>
                      <w:b w:val="0"/>
                      <w:color w:val="000000" w:themeColor="text1"/>
                      <w:sz w:val="21"/>
                      <w:szCs w:val="21"/>
                      <w:u w:val="single"/>
                      <w:lang w:eastAsia="zh-CN"/>
                    </w:rPr>
                  </w:pPr>
                  <w:r>
                    <w:rPr>
                      <w:rFonts w:hint="eastAsia" w:cs="Times New Roman" w:eastAsiaTheme="minorEastAsia"/>
                      <w:b w:val="0"/>
                      <w:color w:val="000000" w:themeColor="text1"/>
                      <w:sz w:val="21"/>
                      <w:szCs w:val="21"/>
                      <w:u w:val="single"/>
                      <w:lang w:eastAsia="zh-CN"/>
                    </w:rPr>
                    <w:t>一般固废</w:t>
                  </w:r>
                </w:p>
              </w:tc>
              <w:tc>
                <w:tcPr>
                  <w:tcW w:w="6048"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themeColor="text1"/>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96" w:type="dxa"/>
                  <w:vMerge w:val="continue"/>
                  <w:tcBorders>
                    <w:left w:val="single" w:color="auto" w:sz="4" w:space="0"/>
                    <w:right w:val="single" w:color="auto" w:sz="4" w:space="0"/>
                  </w:tcBorders>
                  <w:vAlign w:val="center"/>
                </w:tcPr>
                <w:p>
                  <w:pPr>
                    <w:widowControl/>
                    <w:adjustRightInd w:val="0"/>
                    <w:snapToGrid w:val="0"/>
                    <w:jc w:val="center"/>
                    <w:rPr>
                      <w:rFonts w:cs="Times New Roman"/>
                      <w:color w:val="000000" w:themeColor="text1"/>
                      <w:sz w:val="21"/>
                      <w:u w:val="single"/>
                    </w:rPr>
                  </w:pPr>
                </w:p>
              </w:tc>
              <w:tc>
                <w:tcPr>
                  <w:tcW w:w="1455" w:type="dxa"/>
                  <w:gridSpan w:val="2"/>
                  <w:tcBorders>
                    <w:top w:val="single" w:color="auto" w:sz="4" w:space="0"/>
                    <w:left w:val="nil"/>
                    <w:right w:val="single" w:color="auto" w:sz="4" w:space="0"/>
                  </w:tcBorders>
                  <w:vAlign w:val="center"/>
                </w:tcPr>
                <w:p>
                  <w:pPr>
                    <w:pStyle w:val="15"/>
                    <w:autoSpaceDE w:val="0"/>
                    <w:adjustRightInd w:val="0"/>
                    <w:snapToGrid w:val="0"/>
                    <w:spacing w:line="240" w:lineRule="auto"/>
                    <w:rPr>
                      <w:rFonts w:cs="Times New Roman" w:eastAsiaTheme="minorEastAsia"/>
                      <w:b w:val="0"/>
                      <w:color w:val="000000" w:themeColor="text1"/>
                      <w:sz w:val="21"/>
                      <w:szCs w:val="21"/>
                      <w:u w:val="single"/>
                    </w:rPr>
                  </w:pPr>
                  <w:r>
                    <w:rPr>
                      <w:rFonts w:cs="Times New Roman" w:eastAsiaTheme="minorEastAsia"/>
                      <w:b w:val="0"/>
                      <w:bCs/>
                      <w:color w:val="000000" w:themeColor="text1"/>
                      <w:sz w:val="21"/>
                      <w:szCs w:val="21"/>
                      <w:u w:val="single"/>
                    </w:rPr>
                    <w:t>噪声治理</w:t>
                  </w:r>
                </w:p>
              </w:tc>
              <w:tc>
                <w:tcPr>
                  <w:tcW w:w="6048" w:type="dxa"/>
                  <w:gridSpan w:val="2"/>
                  <w:tcBorders>
                    <w:top w:val="single" w:color="auto" w:sz="4" w:space="0"/>
                    <w:left w:val="nil"/>
                    <w:right w:val="single" w:color="auto" w:sz="4" w:space="0"/>
                  </w:tcBorders>
                  <w:vAlign w:val="center"/>
                </w:tcPr>
                <w:p>
                  <w:pPr>
                    <w:adjustRightInd w:val="0"/>
                    <w:snapToGrid w:val="0"/>
                    <w:jc w:val="center"/>
                    <w:rPr>
                      <w:rFonts w:cs="Times New Roman"/>
                      <w:color w:val="000000" w:themeColor="text1"/>
                      <w:sz w:val="21"/>
                      <w:u w:val="single"/>
                    </w:rPr>
                  </w:pPr>
                  <w:r>
                    <w:rPr>
                      <w:rFonts w:cs="Times New Roman"/>
                      <w:color w:val="000000" w:themeColor="text1"/>
                      <w:sz w:val="21"/>
                      <w:u w:val="single"/>
                    </w:rPr>
                    <w:t>采用低噪声生产工艺及设备；使用低噪声设备、基础减振、设置绿化带及厂房隔声等措施，降低噪声强度</w:t>
                  </w:r>
                </w:p>
              </w:tc>
            </w:tr>
          </w:tbl>
          <w:p>
            <w:pPr>
              <w:pStyle w:val="7"/>
              <w:rPr>
                <w:rFonts w:cs="Times New Roman" w:eastAsiaTheme="minorEastAsia"/>
                <w:color w:val="000000" w:themeColor="text1"/>
              </w:rPr>
            </w:pPr>
            <w:r>
              <w:rPr>
                <w:rFonts w:cs="Times New Roman" w:eastAsiaTheme="minorEastAsia"/>
                <w:color w:val="000000" w:themeColor="text1"/>
              </w:rPr>
              <w:t>主要原辅材料及能源消耗</w:t>
            </w:r>
          </w:p>
          <w:p>
            <w:pPr>
              <w:spacing w:line="360" w:lineRule="auto"/>
              <w:ind w:firstLine="480" w:firstLineChars="200"/>
              <w:rPr>
                <w:rFonts w:cs="Times New Roman"/>
                <w:color w:val="000000" w:themeColor="text1"/>
                <w:szCs w:val="24"/>
                <w:u w:val="single"/>
              </w:rPr>
            </w:pPr>
            <w:r>
              <w:rPr>
                <w:rFonts w:cs="Times New Roman"/>
                <w:szCs w:val="24"/>
                <w:u w:val="single"/>
              </w:rPr>
              <w:t>根据建设方提供的资料，项目生产过程中主要原辅材料消耗为：砂石料、矿粉、外加剂等，这些材料在市场上供应充足，均可在市场上直接购买、同时建设单位外购石料均为清洗后的合格原料，项目厂区内不进行石料的清洗。其主要能源消耗为水和电，</w:t>
            </w:r>
            <w:r>
              <w:rPr>
                <w:rFonts w:cs="Times New Roman"/>
                <w:color w:val="000000" w:themeColor="text1"/>
                <w:szCs w:val="24"/>
                <w:u w:val="single"/>
              </w:rPr>
              <w:t>主要原辅材料及能源消耗见</w:t>
            </w:r>
            <w:r>
              <w:rPr>
                <w:rFonts w:cs="Times New Roman"/>
                <w:color w:val="000000" w:themeColor="text1"/>
                <w:szCs w:val="24"/>
                <w:u w:val="single"/>
              </w:rPr>
              <w:fldChar w:fldCharType="begin"/>
            </w:r>
            <w:r>
              <w:rPr>
                <w:rFonts w:cs="Times New Roman"/>
                <w:color w:val="000000" w:themeColor="text1"/>
                <w:szCs w:val="24"/>
                <w:u w:val="single"/>
              </w:rPr>
              <w:instrText xml:space="preserve"> REF _Ref16059275 \h </w:instrText>
            </w:r>
            <w:r>
              <w:rPr>
                <w:rFonts w:cs="Times New Roman"/>
                <w:color w:val="000000" w:themeColor="text1"/>
                <w:szCs w:val="24"/>
                <w:u w:val="single"/>
              </w:rPr>
              <w:fldChar w:fldCharType="separate"/>
            </w:r>
            <w:r>
              <w:rPr>
                <w:rFonts w:cs="Times New Roman"/>
                <w:color w:val="000000" w:themeColor="text1"/>
                <w:szCs w:val="24"/>
                <w:u w:val="single"/>
              </w:rPr>
              <w:t>表1.3</w:t>
            </w:r>
            <w:r>
              <w:rPr>
                <w:rFonts w:cs="Times New Roman"/>
                <w:color w:val="000000" w:themeColor="text1"/>
                <w:szCs w:val="24"/>
                <w:u w:val="single"/>
              </w:rPr>
              <w:noBreakHyphen/>
            </w:r>
            <w:r>
              <w:rPr>
                <w:rFonts w:cs="Times New Roman"/>
                <w:color w:val="000000" w:themeColor="text1"/>
                <w:szCs w:val="24"/>
                <w:u w:val="single"/>
              </w:rPr>
              <w:t>3</w:t>
            </w:r>
            <w:r>
              <w:rPr>
                <w:rFonts w:cs="Times New Roman"/>
                <w:color w:val="000000" w:themeColor="text1"/>
                <w:szCs w:val="24"/>
                <w:u w:val="single"/>
              </w:rPr>
              <w:fldChar w:fldCharType="end"/>
            </w:r>
            <w:r>
              <w:rPr>
                <w:rFonts w:cs="Times New Roman"/>
                <w:color w:val="000000" w:themeColor="text1"/>
                <w:szCs w:val="24"/>
                <w:u w:val="single"/>
              </w:rPr>
              <w:t>。</w:t>
            </w:r>
          </w:p>
          <w:p>
            <w:pPr>
              <w:pStyle w:val="15"/>
              <w:spacing w:line="240" w:lineRule="auto"/>
              <w:rPr>
                <w:rFonts w:cs="Times New Roman" w:eastAsiaTheme="minorEastAsia"/>
                <w:color w:val="000000" w:themeColor="text1"/>
                <w:sz w:val="21"/>
                <w:szCs w:val="21"/>
                <w:u w:val="single"/>
              </w:rPr>
            </w:pPr>
            <w:bookmarkStart w:id="3" w:name="_Ref16059275"/>
            <w:bookmarkStart w:id="4" w:name="_Ref16059256"/>
            <w:r>
              <w:rPr>
                <w:rFonts w:cs="Times New Roman" w:eastAsiaTheme="minorEastAsia"/>
                <w:color w:val="000000" w:themeColor="text1"/>
                <w:sz w:val="21"/>
                <w:szCs w:val="21"/>
                <w:u w:val="single"/>
              </w:rPr>
              <w:t>表</w:t>
            </w:r>
            <w:r>
              <w:rPr>
                <w:rFonts w:cs="Times New Roman" w:eastAsiaTheme="minorEastAsia"/>
                <w:color w:val="000000" w:themeColor="text1"/>
                <w:sz w:val="21"/>
                <w:szCs w:val="21"/>
                <w:u w:val="single"/>
              </w:rPr>
              <w:fldChar w:fldCharType="begin"/>
            </w:r>
            <w:r>
              <w:rPr>
                <w:rFonts w:cs="Times New Roman" w:eastAsiaTheme="minorEastAsia"/>
                <w:color w:val="000000" w:themeColor="text1"/>
                <w:sz w:val="21"/>
                <w:szCs w:val="21"/>
                <w:u w:val="single"/>
              </w:rPr>
              <w:instrText xml:space="preserve"> STYLEREF 2 \s </w:instrText>
            </w:r>
            <w:r>
              <w:rPr>
                <w:rFonts w:cs="Times New Roman" w:eastAsiaTheme="minorEastAsia"/>
                <w:color w:val="000000" w:themeColor="text1"/>
                <w:sz w:val="21"/>
                <w:szCs w:val="21"/>
                <w:u w:val="single"/>
              </w:rPr>
              <w:fldChar w:fldCharType="separate"/>
            </w:r>
            <w:r>
              <w:rPr>
                <w:rFonts w:cs="Times New Roman" w:eastAsiaTheme="minorEastAsia"/>
                <w:color w:val="000000" w:themeColor="text1"/>
                <w:sz w:val="21"/>
                <w:szCs w:val="21"/>
                <w:u w:val="single"/>
              </w:rPr>
              <w:t>1.3</w:t>
            </w:r>
            <w:r>
              <w:rPr>
                <w:rFonts w:cs="Times New Roman" w:eastAsiaTheme="minorEastAsia"/>
                <w:color w:val="000000" w:themeColor="text1"/>
                <w:sz w:val="21"/>
                <w:szCs w:val="21"/>
                <w:u w:val="single"/>
              </w:rPr>
              <w:fldChar w:fldCharType="end"/>
            </w:r>
            <w:r>
              <w:rPr>
                <w:rFonts w:cs="Times New Roman" w:eastAsiaTheme="minorEastAsia"/>
                <w:color w:val="000000" w:themeColor="text1"/>
                <w:sz w:val="21"/>
                <w:szCs w:val="21"/>
                <w:u w:val="single"/>
              </w:rPr>
              <w:noBreakHyphen/>
            </w:r>
            <w:r>
              <w:rPr>
                <w:rFonts w:cs="Times New Roman" w:eastAsiaTheme="minorEastAsia"/>
                <w:color w:val="000000" w:themeColor="text1"/>
                <w:sz w:val="21"/>
                <w:szCs w:val="21"/>
                <w:u w:val="single"/>
              </w:rPr>
              <w:fldChar w:fldCharType="begin"/>
            </w:r>
            <w:r>
              <w:rPr>
                <w:rFonts w:cs="Times New Roman" w:eastAsiaTheme="minorEastAsia"/>
                <w:color w:val="000000" w:themeColor="text1"/>
                <w:sz w:val="21"/>
                <w:szCs w:val="21"/>
                <w:u w:val="single"/>
              </w:rPr>
              <w:instrText xml:space="preserve"> SEQ 表 \* ARABIC \s 2 </w:instrText>
            </w:r>
            <w:r>
              <w:rPr>
                <w:rFonts w:cs="Times New Roman" w:eastAsiaTheme="minorEastAsia"/>
                <w:color w:val="000000" w:themeColor="text1"/>
                <w:sz w:val="21"/>
                <w:szCs w:val="21"/>
                <w:u w:val="single"/>
              </w:rPr>
              <w:fldChar w:fldCharType="separate"/>
            </w:r>
            <w:r>
              <w:rPr>
                <w:rFonts w:cs="Times New Roman" w:eastAsiaTheme="minorEastAsia"/>
                <w:color w:val="000000" w:themeColor="text1"/>
                <w:sz w:val="21"/>
                <w:szCs w:val="21"/>
                <w:u w:val="single"/>
              </w:rPr>
              <w:t>3</w:t>
            </w:r>
            <w:r>
              <w:rPr>
                <w:rFonts w:cs="Times New Roman" w:eastAsiaTheme="minorEastAsia"/>
                <w:color w:val="000000" w:themeColor="text1"/>
                <w:sz w:val="21"/>
                <w:szCs w:val="21"/>
                <w:u w:val="single"/>
              </w:rPr>
              <w:fldChar w:fldCharType="end"/>
            </w:r>
            <w:bookmarkEnd w:id="3"/>
            <w:r>
              <w:rPr>
                <w:rFonts w:cs="Times New Roman" w:eastAsiaTheme="minorEastAsia"/>
                <w:color w:val="000000" w:themeColor="text1"/>
                <w:sz w:val="21"/>
                <w:szCs w:val="21"/>
                <w:u w:val="single"/>
              </w:rPr>
              <w:t xml:space="preserve">  主要原辅材料及能源消耗情况一览表</w:t>
            </w:r>
            <w:bookmarkEnd w:id="4"/>
          </w:p>
          <w:tbl>
            <w:tblPr>
              <w:tblStyle w:val="33"/>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008"/>
              <w:gridCol w:w="1045"/>
              <w:gridCol w:w="937"/>
              <w:gridCol w:w="1062"/>
              <w:gridCol w:w="949"/>
              <w:gridCol w:w="789"/>
              <w:gridCol w:w="789"/>
              <w:gridCol w:w="756"/>
              <w:gridCol w:w="5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序号</w:t>
                  </w:r>
                </w:p>
              </w:tc>
              <w:tc>
                <w:tcPr>
                  <w:tcW w:w="62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原辅材料名称</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eastAsiaTheme="minorEastAsia"/>
                      <w:bCs/>
                      <w:color w:val="000000" w:themeColor="text1"/>
                      <w:sz w:val="21"/>
                      <w:szCs w:val="21"/>
                      <w:u w:val="single"/>
                      <w:lang w:val="en-US" w:eastAsia="zh-CN"/>
                    </w:rPr>
                  </w:pPr>
                  <w:r>
                    <w:rPr>
                      <w:rFonts w:hint="eastAsia" w:cs="Times New Roman"/>
                      <w:bCs/>
                      <w:color w:val="000000" w:themeColor="text1"/>
                      <w:sz w:val="21"/>
                      <w:szCs w:val="21"/>
                      <w:u w:val="single"/>
                      <w:lang w:val="en-US" w:eastAsia="zh-CN"/>
                    </w:rPr>
                    <w:t>规格型号</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单耗量</w:t>
                  </w:r>
                </w:p>
                <w:p>
                  <w:pPr>
                    <w:keepNext w:val="0"/>
                    <w:keepLines w:val="0"/>
                    <w:pageBreakBefore w:val="0"/>
                    <w:kinsoku/>
                    <w:wordWrap/>
                    <w:overflowPunct/>
                    <w:topLinePunct w:val="0"/>
                    <w:autoSpaceDE/>
                    <w:autoSpaceDN/>
                    <w:bidi w:val="0"/>
                    <w:adjustRightInd w:val="0"/>
                    <w:snapToGrid w:val="0"/>
                    <w:jc w:val="center"/>
                    <w:textAlignment w:val="auto"/>
                    <w:rPr>
                      <w:rFonts w:hint="default" w:eastAsiaTheme="minorEastAsia"/>
                      <w:sz w:val="21"/>
                      <w:szCs w:val="21"/>
                      <w:lang w:val="en-US" w:eastAsia="zh-CN"/>
                    </w:rPr>
                  </w:pPr>
                  <w:r>
                    <w:rPr>
                      <w:rFonts w:hint="default" w:cs="Times New Roman"/>
                      <w:bCs/>
                      <w:color w:val="000000" w:themeColor="text1"/>
                      <w:sz w:val="21"/>
                      <w:szCs w:val="21"/>
                      <w:u w:val="single"/>
                      <w:lang w:val="en-US" w:eastAsia="zh-CN"/>
                    </w:rPr>
                    <w:t>（</w:t>
                  </w:r>
                  <w:r>
                    <w:rPr>
                      <w:rFonts w:hint="eastAsia" w:cs="Times New Roman"/>
                      <w:bCs/>
                      <w:color w:val="000000" w:themeColor="text1"/>
                      <w:sz w:val="21"/>
                      <w:szCs w:val="21"/>
                      <w:u w:val="single"/>
                      <w:lang w:val="en-US" w:eastAsia="zh-CN"/>
                    </w:rPr>
                    <w:t>吨/立方米</w:t>
                  </w:r>
                  <w:r>
                    <w:rPr>
                      <w:rFonts w:hint="default" w:cs="Times New Roman"/>
                      <w:bCs/>
                      <w:color w:val="000000" w:themeColor="text1"/>
                      <w:sz w:val="21"/>
                      <w:szCs w:val="21"/>
                      <w:u w:val="single"/>
                      <w:lang w:val="en-US" w:eastAsia="zh-CN"/>
                    </w:rPr>
                    <w:t>）</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年耗量</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应用工序</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主要成分说明</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最大储存量</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储存位置和方式</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1</w:t>
                  </w:r>
                </w:p>
              </w:tc>
              <w:tc>
                <w:tcPr>
                  <w:tcW w:w="629" w:type="pct"/>
                  <w:vAlign w:val="center"/>
                </w:tcPr>
                <w:p>
                  <w:pPr>
                    <w:pStyle w:val="125"/>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 w:val="21"/>
                      <w:szCs w:val="21"/>
                      <w:u w:val="single"/>
                    </w:rPr>
                  </w:pPr>
                  <w:r>
                    <w:rPr>
                      <w:rFonts w:eastAsiaTheme="minorEastAsia"/>
                      <w:color w:val="000000" w:themeColor="text1"/>
                      <w:sz w:val="21"/>
                      <w:szCs w:val="21"/>
                      <w:u w:val="single"/>
                    </w:rPr>
                    <w:t>水泥</w:t>
                  </w:r>
                </w:p>
              </w:tc>
              <w:tc>
                <w:tcPr>
                  <w:tcW w:w="586" w:type="pct"/>
                  <w:vAlign w:val="center"/>
                </w:tcPr>
                <w:p>
                  <w:pPr>
                    <w:pStyle w:val="125"/>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 w:val="21"/>
                      <w:szCs w:val="21"/>
                      <w:u w:val="single"/>
                    </w:rPr>
                  </w:pPr>
                  <w:r>
                    <w:rPr>
                      <w:rFonts w:hint="default" w:eastAsiaTheme="minorEastAsia"/>
                      <w:color w:val="000000" w:themeColor="text1"/>
                      <w:sz w:val="21"/>
                      <w:szCs w:val="21"/>
                      <w:u w:val="single"/>
                      <w:lang w:val="en-US" w:eastAsia="zh-CN"/>
                    </w:rPr>
                    <w:t>P.042.5</w:t>
                  </w:r>
                  <w:r>
                    <w:rPr>
                      <w:rFonts w:hint="eastAsia" w:eastAsiaTheme="minorEastAsia"/>
                      <w:color w:val="000000" w:themeColor="text1"/>
                      <w:sz w:val="21"/>
                      <w:szCs w:val="21"/>
                      <w:u w:val="single"/>
                      <w:lang w:val="en-US" w:eastAsia="zh-CN"/>
                    </w:rPr>
                    <w:t>，</w:t>
                  </w:r>
                  <w:r>
                    <w:rPr>
                      <w:rFonts w:hint="default" w:eastAsiaTheme="minorEastAsia"/>
                      <w:color w:val="000000" w:themeColor="text1"/>
                      <w:sz w:val="21"/>
                      <w:szCs w:val="21"/>
                      <w:u w:val="single"/>
                      <w:lang w:val="en-US" w:eastAsia="zh-CN"/>
                    </w:rPr>
                    <w:t>P.052.5</w:t>
                  </w:r>
                </w:p>
              </w:tc>
              <w:tc>
                <w:tcPr>
                  <w:tcW w:w="586" w:type="pct"/>
                  <w:vAlign w:val="center"/>
                </w:tcPr>
                <w:p>
                  <w:pPr>
                    <w:pStyle w:val="125"/>
                    <w:keepNext w:val="0"/>
                    <w:keepLines w:val="0"/>
                    <w:pageBreakBefore w:val="0"/>
                    <w:kinsoku/>
                    <w:wordWrap/>
                    <w:overflowPunct/>
                    <w:topLinePunct w:val="0"/>
                    <w:autoSpaceDE/>
                    <w:autoSpaceDN/>
                    <w:bidi w:val="0"/>
                    <w:adjustRightInd w:val="0"/>
                    <w:snapToGrid w:val="0"/>
                    <w:jc w:val="center"/>
                    <w:textAlignment w:val="auto"/>
                    <w:rPr>
                      <w:rFonts w:eastAsiaTheme="minorEastAsia"/>
                      <w:color w:val="000000" w:themeColor="text1"/>
                      <w:sz w:val="21"/>
                      <w:szCs w:val="21"/>
                      <w:u w:val="single"/>
                    </w:rPr>
                  </w:pPr>
                  <w:r>
                    <w:rPr>
                      <w:rFonts w:eastAsiaTheme="minorEastAsia"/>
                      <w:color w:val="000000" w:themeColor="text1"/>
                      <w:sz w:val="21"/>
                      <w:szCs w:val="21"/>
                      <w:u w:val="single"/>
                    </w:rPr>
                    <w:t>0.2</w:t>
                  </w:r>
                  <w:r>
                    <w:rPr>
                      <w:rFonts w:hint="eastAsia" w:eastAsiaTheme="minorEastAsia"/>
                      <w:color w:val="000000" w:themeColor="text1"/>
                      <w:sz w:val="21"/>
                      <w:szCs w:val="21"/>
                      <w:u w:val="single"/>
                      <w:lang w:val="en-US" w:eastAsia="zh-CN"/>
                    </w:rPr>
                    <w:t>5</w:t>
                  </w:r>
                  <w:r>
                    <w:rPr>
                      <w:rFonts w:eastAsiaTheme="minorEastAsia"/>
                      <w:color w:val="000000" w:themeColor="text1"/>
                      <w:sz w:val="21"/>
                      <w:szCs w:val="21"/>
                      <w:u w:val="single"/>
                    </w:rPr>
                    <w:t>t</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eastAsiaTheme="minorEastAsia"/>
                      <w:color w:val="000000" w:themeColor="text1"/>
                      <w:sz w:val="21"/>
                      <w:szCs w:val="21"/>
                      <w:u w:val="single"/>
                      <w:lang w:eastAsia="zh-CN"/>
                    </w:rPr>
                  </w:pPr>
                  <w:r>
                    <w:rPr>
                      <w:rFonts w:hint="eastAsia" w:cs="Times New Roman"/>
                      <w:color w:val="000000" w:themeColor="text1"/>
                      <w:sz w:val="21"/>
                      <w:szCs w:val="21"/>
                      <w:u w:val="single"/>
                      <w:lang w:val="en-US" w:eastAsia="zh-CN"/>
                    </w:rPr>
                    <w:t>22.5</w:t>
                  </w:r>
                  <w:r>
                    <w:rPr>
                      <w:rFonts w:cs="Times New Roman"/>
                      <w:color w:val="000000" w:themeColor="text1"/>
                      <w:sz w:val="21"/>
                      <w:szCs w:val="21"/>
                      <w:u w:val="single"/>
                    </w:rPr>
                    <w:t>万</w:t>
                  </w:r>
                  <w:r>
                    <w:rPr>
                      <w:rFonts w:hint="eastAsia" w:cs="Times New Roman"/>
                      <w:color w:val="000000" w:themeColor="text1"/>
                      <w:sz w:val="21"/>
                      <w:szCs w:val="21"/>
                      <w:u w:val="single"/>
                      <w:lang w:eastAsia="zh-CN"/>
                    </w:rPr>
                    <w:t>吨</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输送搅拌</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水泥熟料</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1000t</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粉料罐密闭储存</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2</w:t>
                  </w:r>
                </w:p>
              </w:tc>
              <w:tc>
                <w:tcPr>
                  <w:tcW w:w="629" w:type="pct"/>
                  <w:vAlign w:val="center"/>
                </w:tcPr>
                <w:p>
                  <w:pPr>
                    <w:pStyle w:val="63"/>
                    <w:keepNext w:val="0"/>
                    <w:keepLines w:val="0"/>
                    <w:pageBreakBefore w:val="0"/>
                    <w:kinsoku/>
                    <w:wordWrap/>
                    <w:overflowPunct/>
                    <w:topLinePunct w:val="0"/>
                    <w:autoSpaceDE/>
                    <w:autoSpaceDN/>
                    <w:bidi w:val="0"/>
                    <w:adjustRightInd w:val="0"/>
                    <w:snapToGrid w:val="0"/>
                    <w:spacing w:line="240" w:lineRule="auto"/>
                    <w:textAlignment w:val="auto"/>
                    <w:rPr>
                      <w:rFonts w:eastAsiaTheme="minorEastAsia"/>
                      <w:color w:val="000000" w:themeColor="text1"/>
                      <w:sz w:val="21"/>
                      <w:szCs w:val="21"/>
                      <w:u w:val="single"/>
                    </w:rPr>
                  </w:pPr>
                  <w:r>
                    <w:rPr>
                      <w:rFonts w:eastAsiaTheme="minorEastAsia"/>
                      <w:color w:val="000000" w:themeColor="text1"/>
                      <w:sz w:val="21"/>
                      <w:szCs w:val="21"/>
                      <w:u w:val="single"/>
                    </w:rPr>
                    <w:t>砂子</w:t>
                  </w:r>
                </w:p>
              </w:tc>
              <w:tc>
                <w:tcPr>
                  <w:tcW w:w="586" w:type="pct"/>
                  <w:vAlign w:val="center"/>
                </w:tcPr>
                <w:p>
                  <w:pPr>
                    <w:pStyle w:val="63"/>
                    <w:keepNext w:val="0"/>
                    <w:keepLines w:val="0"/>
                    <w:pageBreakBefore w:val="0"/>
                    <w:kinsoku/>
                    <w:wordWrap/>
                    <w:overflowPunct/>
                    <w:topLinePunct w:val="0"/>
                    <w:autoSpaceDE/>
                    <w:autoSpaceDN/>
                    <w:bidi w:val="0"/>
                    <w:adjustRightInd w:val="0"/>
                    <w:snapToGrid w:val="0"/>
                    <w:spacing w:line="240" w:lineRule="auto"/>
                    <w:textAlignment w:val="auto"/>
                    <w:rPr>
                      <w:rFonts w:hint="default" w:eastAsiaTheme="minorEastAsia"/>
                      <w:color w:val="000000" w:themeColor="text1"/>
                      <w:sz w:val="21"/>
                      <w:szCs w:val="21"/>
                      <w:u w:val="single"/>
                      <w:lang w:val="en-US" w:eastAsia="zh-CN"/>
                    </w:rPr>
                  </w:pPr>
                  <w:r>
                    <w:rPr>
                      <w:rFonts w:hint="eastAsia" w:eastAsiaTheme="minorEastAsia"/>
                      <w:color w:val="000000" w:themeColor="text1"/>
                      <w:sz w:val="21"/>
                      <w:szCs w:val="21"/>
                      <w:u w:val="single"/>
                      <w:lang w:val="en-US" w:eastAsia="zh-CN"/>
                    </w:rPr>
                    <w:t>砂中砂</w:t>
                  </w:r>
                </w:p>
              </w:tc>
              <w:tc>
                <w:tcPr>
                  <w:tcW w:w="586" w:type="pct"/>
                  <w:vAlign w:val="center"/>
                </w:tcPr>
                <w:p>
                  <w:pPr>
                    <w:pStyle w:val="63"/>
                    <w:keepNext w:val="0"/>
                    <w:keepLines w:val="0"/>
                    <w:pageBreakBefore w:val="0"/>
                    <w:kinsoku/>
                    <w:wordWrap/>
                    <w:overflowPunct/>
                    <w:topLinePunct w:val="0"/>
                    <w:autoSpaceDE/>
                    <w:autoSpaceDN/>
                    <w:bidi w:val="0"/>
                    <w:adjustRightInd w:val="0"/>
                    <w:snapToGrid w:val="0"/>
                    <w:spacing w:line="240" w:lineRule="auto"/>
                    <w:textAlignment w:val="auto"/>
                    <w:rPr>
                      <w:rFonts w:eastAsiaTheme="minorEastAsia"/>
                      <w:color w:val="000000" w:themeColor="text1"/>
                      <w:sz w:val="21"/>
                      <w:szCs w:val="21"/>
                      <w:u w:val="single"/>
                    </w:rPr>
                  </w:pPr>
                  <w:r>
                    <w:rPr>
                      <w:rFonts w:eastAsiaTheme="minorEastAsia"/>
                      <w:color w:val="000000" w:themeColor="text1"/>
                      <w:sz w:val="21"/>
                      <w:szCs w:val="21"/>
                      <w:u w:val="single"/>
                    </w:rPr>
                    <w:t>1t</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hint="eastAsia" w:cs="Times New Roman"/>
                      <w:color w:val="000000" w:themeColor="text1"/>
                      <w:sz w:val="21"/>
                      <w:szCs w:val="21"/>
                      <w:u w:val="single"/>
                      <w:lang w:val="en-US" w:eastAsia="zh-CN"/>
                    </w:rPr>
                    <w:t>90</w:t>
                  </w:r>
                  <w:r>
                    <w:rPr>
                      <w:rFonts w:cs="Times New Roman"/>
                      <w:color w:val="000000" w:themeColor="text1"/>
                      <w:sz w:val="21"/>
                      <w:szCs w:val="21"/>
                      <w:u w:val="single"/>
                    </w:rPr>
                    <w:t>万</w:t>
                  </w:r>
                  <w:r>
                    <w:rPr>
                      <w:rFonts w:hint="eastAsia" w:cs="Times New Roman"/>
                      <w:color w:val="000000" w:themeColor="text1"/>
                      <w:sz w:val="21"/>
                      <w:szCs w:val="21"/>
                      <w:u w:val="single"/>
                      <w:lang w:eastAsia="zh-CN"/>
                    </w:rPr>
                    <w:t>吨</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输送搅拌</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碳酸钙</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6000t</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堆棚遮阳储存</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3</w:t>
                  </w:r>
                </w:p>
              </w:tc>
              <w:tc>
                <w:tcPr>
                  <w:tcW w:w="62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碎石</w:t>
                  </w:r>
                </w:p>
              </w:tc>
              <w:tc>
                <w:tcPr>
                  <w:tcW w:w="586"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hint="default" w:ascii="Times New Roman" w:hAnsi="Times New Roman" w:eastAsia="宋体" w:cs="Times New Roman"/>
                      <w:color w:val="000000"/>
                      <w:kern w:val="0"/>
                      <w:sz w:val="21"/>
                      <w:szCs w:val="21"/>
                      <w:u w:val="single"/>
                      <w:lang w:val="en-US" w:eastAsia="zh-CN" w:bidi="ar"/>
                    </w:rPr>
                    <w:t>5-25mm</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0.</w:t>
                  </w:r>
                  <w:r>
                    <w:rPr>
                      <w:rFonts w:hint="eastAsia" w:cs="Times New Roman"/>
                      <w:bCs/>
                      <w:color w:val="000000" w:themeColor="text1"/>
                      <w:sz w:val="21"/>
                      <w:szCs w:val="21"/>
                      <w:u w:val="single"/>
                      <w:lang w:val="en-US" w:eastAsia="zh-CN"/>
                    </w:rPr>
                    <w:t>9</w:t>
                  </w:r>
                  <w:r>
                    <w:rPr>
                      <w:rFonts w:cs="Times New Roman"/>
                      <w:bCs/>
                      <w:color w:val="000000" w:themeColor="text1"/>
                      <w:sz w:val="21"/>
                      <w:szCs w:val="21"/>
                      <w:u w:val="single"/>
                    </w:rPr>
                    <w:t>t</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hint="eastAsia" w:cs="Times New Roman"/>
                      <w:color w:val="000000" w:themeColor="text1"/>
                      <w:sz w:val="21"/>
                      <w:szCs w:val="21"/>
                      <w:u w:val="single"/>
                      <w:lang w:val="en-US" w:eastAsia="zh-CN"/>
                    </w:rPr>
                    <w:t>81</w:t>
                  </w:r>
                  <w:r>
                    <w:rPr>
                      <w:rFonts w:cs="Times New Roman"/>
                      <w:color w:val="000000" w:themeColor="text1"/>
                      <w:sz w:val="21"/>
                      <w:szCs w:val="21"/>
                      <w:u w:val="single"/>
                    </w:rPr>
                    <w:t>万</w:t>
                  </w:r>
                  <w:r>
                    <w:rPr>
                      <w:rFonts w:hint="eastAsia" w:cs="Times New Roman"/>
                      <w:color w:val="000000" w:themeColor="text1"/>
                      <w:sz w:val="21"/>
                      <w:szCs w:val="21"/>
                      <w:u w:val="single"/>
                      <w:lang w:eastAsia="zh-CN"/>
                    </w:rPr>
                    <w:t>吨</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输送搅拌</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碳酸钙</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6000t</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堆棚遮阳储存</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4</w:t>
                  </w:r>
                </w:p>
              </w:tc>
              <w:tc>
                <w:tcPr>
                  <w:tcW w:w="62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bCs/>
                      <w:color w:val="000000" w:themeColor="text1"/>
                      <w:sz w:val="21"/>
                      <w:szCs w:val="21"/>
                      <w:u w:val="single"/>
                    </w:rPr>
                    <w:t>粉煤灰</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hint="default" w:cs="Times New Roman"/>
                      <w:bCs/>
                      <w:color w:val="000000" w:themeColor="text1"/>
                      <w:sz w:val="21"/>
                      <w:szCs w:val="21"/>
                      <w:u w:val="single"/>
                      <w:lang w:val="en-US" w:eastAsia="zh-CN"/>
                    </w:rPr>
                    <w:t>Ⅱ</w:t>
                  </w:r>
                  <w:r>
                    <w:rPr>
                      <w:rFonts w:hint="eastAsia" w:cs="Times New Roman"/>
                      <w:bCs/>
                      <w:color w:val="000000" w:themeColor="text1"/>
                      <w:sz w:val="21"/>
                      <w:szCs w:val="21"/>
                      <w:u w:val="single"/>
                      <w:lang w:val="en-US" w:eastAsia="zh-CN"/>
                    </w:rPr>
                    <w:t>级</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hint="eastAsia" w:cs="Times New Roman"/>
                      <w:bCs/>
                      <w:color w:val="000000" w:themeColor="text1"/>
                      <w:sz w:val="21"/>
                      <w:szCs w:val="21"/>
                      <w:u w:val="single"/>
                      <w:lang w:val="en-US" w:eastAsia="zh-CN"/>
                    </w:rPr>
                    <w:t>0.05</w:t>
                  </w:r>
                  <w:r>
                    <w:rPr>
                      <w:rFonts w:cs="Times New Roman"/>
                      <w:bCs/>
                      <w:color w:val="000000" w:themeColor="text1"/>
                      <w:sz w:val="21"/>
                      <w:szCs w:val="21"/>
                      <w:u w:val="single"/>
                    </w:rPr>
                    <w:t>t</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hint="eastAsia" w:cs="Times New Roman"/>
                      <w:color w:val="000000" w:themeColor="text1"/>
                      <w:sz w:val="21"/>
                      <w:szCs w:val="21"/>
                      <w:u w:val="single"/>
                      <w:lang w:val="en-US" w:eastAsia="zh-CN"/>
                    </w:rPr>
                    <w:t>4.5</w:t>
                  </w:r>
                  <w:r>
                    <w:rPr>
                      <w:rFonts w:cs="Times New Roman"/>
                      <w:color w:val="000000" w:themeColor="text1"/>
                      <w:sz w:val="21"/>
                      <w:szCs w:val="21"/>
                      <w:u w:val="single"/>
                    </w:rPr>
                    <w:t>万</w:t>
                  </w:r>
                  <w:r>
                    <w:rPr>
                      <w:rFonts w:hint="eastAsia" w:cs="Times New Roman"/>
                      <w:color w:val="000000" w:themeColor="text1"/>
                      <w:sz w:val="21"/>
                      <w:szCs w:val="21"/>
                      <w:u w:val="single"/>
                      <w:lang w:eastAsia="zh-CN"/>
                    </w:rPr>
                    <w:t>吨</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输送搅拌</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煤炭燃烧产物</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400t</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粉料罐密闭储存</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5</w:t>
                  </w:r>
                </w:p>
              </w:tc>
              <w:tc>
                <w:tcPr>
                  <w:tcW w:w="62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bCs/>
                      <w:color w:val="000000" w:themeColor="text1"/>
                      <w:sz w:val="21"/>
                      <w:szCs w:val="21"/>
                      <w:u w:val="single"/>
                    </w:rPr>
                    <w:t>矿粉</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hint="default" w:cs="Times New Roman"/>
                      <w:bCs/>
                      <w:color w:val="000000" w:themeColor="text1"/>
                      <w:sz w:val="21"/>
                      <w:szCs w:val="21"/>
                      <w:u w:val="single"/>
                      <w:lang w:val="en-US" w:eastAsia="zh-CN"/>
                    </w:rPr>
                    <w:t>S75</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hint="eastAsia" w:cs="Times New Roman"/>
                      <w:bCs/>
                      <w:color w:val="000000" w:themeColor="text1"/>
                      <w:sz w:val="21"/>
                      <w:szCs w:val="21"/>
                      <w:u w:val="single"/>
                      <w:lang w:val="en-US" w:eastAsia="zh-CN"/>
                    </w:rPr>
                    <w:t>0.05</w:t>
                  </w:r>
                  <w:r>
                    <w:rPr>
                      <w:rFonts w:cs="Times New Roman"/>
                      <w:bCs/>
                      <w:color w:val="000000" w:themeColor="text1"/>
                      <w:sz w:val="21"/>
                      <w:szCs w:val="21"/>
                      <w:u w:val="single"/>
                    </w:rPr>
                    <w:t>t</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hint="eastAsia" w:cs="Times New Roman"/>
                      <w:color w:val="000000" w:themeColor="text1"/>
                      <w:sz w:val="21"/>
                      <w:szCs w:val="21"/>
                      <w:u w:val="single"/>
                      <w:lang w:val="en-US" w:eastAsia="zh-CN"/>
                    </w:rPr>
                    <w:t>4.5</w:t>
                  </w:r>
                  <w:r>
                    <w:rPr>
                      <w:rFonts w:cs="Times New Roman"/>
                      <w:color w:val="000000" w:themeColor="text1"/>
                      <w:sz w:val="21"/>
                      <w:szCs w:val="21"/>
                      <w:u w:val="single"/>
                    </w:rPr>
                    <w:t>万</w:t>
                  </w:r>
                  <w:r>
                    <w:rPr>
                      <w:rFonts w:hint="eastAsia" w:cs="Times New Roman"/>
                      <w:color w:val="000000" w:themeColor="text1"/>
                      <w:sz w:val="21"/>
                      <w:szCs w:val="21"/>
                      <w:u w:val="single"/>
                      <w:lang w:eastAsia="zh-CN"/>
                    </w:rPr>
                    <w:t>吨</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输送搅拌</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矿渣粉</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500t</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粉料罐密闭储存</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6</w:t>
                  </w:r>
                </w:p>
              </w:tc>
              <w:tc>
                <w:tcPr>
                  <w:tcW w:w="629" w:type="pct"/>
                  <w:vAlign w:val="center"/>
                </w:tcPr>
                <w:p>
                  <w:pPr>
                    <w:pStyle w:val="63"/>
                    <w:keepNext w:val="0"/>
                    <w:keepLines w:val="0"/>
                    <w:pageBreakBefore w:val="0"/>
                    <w:kinsoku/>
                    <w:wordWrap/>
                    <w:overflowPunct/>
                    <w:topLinePunct w:val="0"/>
                    <w:autoSpaceDE/>
                    <w:autoSpaceDN/>
                    <w:bidi w:val="0"/>
                    <w:adjustRightInd w:val="0"/>
                    <w:snapToGrid w:val="0"/>
                    <w:spacing w:line="240" w:lineRule="auto"/>
                    <w:textAlignment w:val="auto"/>
                    <w:rPr>
                      <w:rFonts w:eastAsiaTheme="minorEastAsia"/>
                      <w:color w:val="000000" w:themeColor="text1"/>
                      <w:sz w:val="21"/>
                      <w:szCs w:val="21"/>
                      <w:u w:val="single"/>
                    </w:rPr>
                  </w:pPr>
                  <w:r>
                    <w:rPr>
                      <w:rFonts w:eastAsiaTheme="minorEastAsia"/>
                      <w:bCs/>
                      <w:color w:val="000000" w:themeColor="text1"/>
                      <w:sz w:val="21"/>
                      <w:szCs w:val="21"/>
                      <w:u w:val="single"/>
                    </w:rPr>
                    <w:t>外加剂</w:t>
                  </w:r>
                </w:p>
              </w:tc>
              <w:tc>
                <w:tcPr>
                  <w:tcW w:w="586" w:type="pct"/>
                  <w:vAlign w:val="center"/>
                </w:tcPr>
                <w:p>
                  <w:pPr>
                    <w:pStyle w:val="63"/>
                    <w:keepNext w:val="0"/>
                    <w:keepLines w:val="0"/>
                    <w:pageBreakBefore w:val="0"/>
                    <w:kinsoku/>
                    <w:wordWrap/>
                    <w:overflowPunct/>
                    <w:topLinePunct w:val="0"/>
                    <w:autoSpaceDE/>
                    <w:autoSpaceDN/>
                    <w:bidi w:val="0"/>
                    <w:adjustRightInd w:val="0"/>
                    <w:snapToGrid w:val="0"/>
                    <w:spacing w:line="240" w:lineRule="auto"/>
                    <w:textAlignment w:val="auto"/>
                    <w:rPr>
                      <w:rFonts w:hint="eastAsia" w:eastAsiaTheme="minorEastAsia"/>
                      <w:bCs/>
                      <w:color w:val="000000" w:themeColor="text1"/>
                      <w:sz w:val="21"/>
                      <w:szCs w:val="21"/>
                      <w:u w:val="single"/>
                      <w:lang w:val="en-US" w:eastAsia="zh-CN"/>
                    </w:rPr>
                  </w:pPr>
                  <w:r>
                    <w:rPr>
                      <w:rFonts w:hint="eastAsia" w:eastAsiaTheme="minorEastAsia"/>
                      <w:bCs/>
                      <w:color w:val="000000" w:themeColor="text1"/>
                      <w:sz w:val="21"/>
                      <w:szCs w:val="21"/>
                      <w:u w:val="single"/>
                      <w:lang w:val="en-US" w:eastAsia="zh-CN"/>
                    </w:rPr>
                    <w:t>/</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bCs/>
                      <w:color w:val="000000" w:themeColor="text1"/>
                      <w:sz w:val="21"/>
                      <w:szCs w:val="21"/>
                      <w:u w:val="single"/>
                    </w:rPr>
                    <w:t>0.00</w:t>
                  </w:r>
                  <w:r>
                    <w:rPr>
                      <w:rFonts w:hint="eastAsia" w:cs="Times New Roman"/>
                      <w:bCs/>
                      <w:color w:val="000000" w:themeColor="text1"/>
                      <w:sz w:val="21"/>
                      <w:szCs w:val="21"/>
                      <w:u w:val="single"/>
                      <w:lang w:val="en-US" w:eastAsia="zh-CN"/>
                    </w:rPr>
                    <w:t>8</w:t>
                  </w:r>
                  <w:r>
                    <w:rPr>
                      <w:rFonts w:cs="Times New Roman"/>
                      <w:bCs/>
                      <w:color w:val="000000" w:themeColor="text1"/>
                      <w:sz w:val="21"/>
                      <w:szCs w:val="21"/>
                      <w:u w:val="single"/>
                    </w:rPr>
                    <w:t>t</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hint="eastAsia" w:cs="Times New Roman"/>
                      <w:color w:val="000000" w:themeColor="text1"/>
                      <w:sz w:val="21"/>
                      <w:szCs w:val="21"/>
                      <w:u w:val="single"/>
                      <w:lang w:val="en-US" w:eastAsia="zh-CN"/>
                    </w:rPr>
                    <w:t>0.793384</w:t>
                  </w:r>
                  <w:r>
                    <w:rPr>
                      <w:rFonts w:cs="Times New Roman"/>
                      <w:color w:val="000000" w:themeColor="text1"/>
                      <w:sz w:val="21"/>
                      <w:szCs w:val="21"/>
                      <w:u w:val="single"/>
                    </w:rPr>
                    <w:t>万</w:t>
                  </w:r>
                  <w:r>
                    <w:rPr>
                      <w:rFonts w:hint="eastAsia" w:cs="Times New Roman"/>
                      <w:color w:val="000000" w:themeColor="text1"/>
                      <w:sz w:val="21"/>
                      <w:szCs w:val="21"/>
                      <w:u w:val="single"/>
                      <w:lang w:eastAsia="zh-CN"/>
                    </w:rPr>
                    <w:t>吨</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输送搅拌</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聚羧酸</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80t</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PE塑料罐密闭储存</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7</w:t>
                  </w:r>
                </w:p>
              </w:tc>
              <w:tc>
                <w:tcPr>
                  <w:tcW w:w="629" w:type="pct"/>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cs="Times New Roman"/>
                      <w:color w:val="000000" w:themeColor="text1"/>
                      <w:sz w:val="21"/>
                      <w:szCs w:val="21"/>
                      <w:u w:val="single"/>
                    </w:rPr>
                  </w:pPr>
                  <w:r>
                    <w:rPr>
                      <w:rFonts w:cs="Times New Roman"/>
                      <w:color w:val="000000" w:themeColor="text1"/>
                      <w:sz w:val="21"/>
                      <w:szCs w:val="21"/>
                      <w:u w:val="single"/>
                    </w:rPr>
                    <w:t>润滑油</w:t>
                  </w:r>
                </w:p>
              </w:tc>
              <w:tc>
                <w:tcPr>
                  <w:tcW w:w="586" w:type="pct"/>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cs="Times New Roman" w:eastAsiaTheme="minorEastAsia"/>
                      <w:color w:val="000000" w:themeColor="text1"/>
                      <w:sz w:val="21"/>
                      <w:szCs w:val="21"/>
                      <w:u w:val="single"/>
                      <w:lang w:val="en-US" w:eastAsia="zh-CN"/>
                    </w:rPr>
                  </w:pPr>
                  <w:r>
                    <w:rPr>
                      <w:rFonts w:hint="eastAsia" w:cs="Times New Roman"/>
                      <w:color w:val="000000" w:themeColor="text1"/>
                      <w:sz w:val="21"/>
                      <w:szCs w:val="21"/>
                      <w:u w:val="single"/>
                      <w:lang w:val="en-US" w:eastAsia="zh-CN"/>
                    </w:rPr>
                    <w:t>/</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0.01</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0.1</w:t>
                  </w:r>
                  <w:r>
                    <w:rPr>
                      <w:rFonts w:hint="eastAsia" w:cs="Times New Roman"/>
                      <w:color w:val="000000" w:themeColor="text1"/>
                      <w:sz w:val="21"/>
                      <w:szCs w:val="21"/>
                      <w:u w:val="single"/>
                      <w:lang w:eastAsia="zh-CN"/>
                    </w:rPr>
                    <w:t>吨</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机械</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油类</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0.01</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桶装</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8</w:t>
                  </w:r>
                </w:p>
              </w:tc>
              <w:tc>
                <w:tcPr>
                  <w:tcW w:w="629" w:type="pct"/>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cs="Times New Roman"/>
                      <w:color w:val="000000" w:themeColor="text1"/>
                      <w:sz w:val="21"/>
                      <w:szCs w:val="21"/>
                      <w:u w:val="single"/>
                    </w:rPr>
                  </w:pPr>
                  <w:r>
                    <w:rPr>
                      <w:rFonts w:cs="Times New Roman"/>
                      <w:color w:val="000000" w:themeColor="text1"/>
                      <w:sz w:val="21"/>
                      <w:szCs w:val="21"/>
                      <w:u w:val="single"/>
                    </w:rPr>
                    <w:t>柴油</w:t>
                  </w:r>
                </w:p>
              </w:tc>
              <w:tc>
                <w:tcPr>
                  <w:tcW w:w="586" w:type="pct"/>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cs="Times New Roman" w:eastAsiaTheme="minorEastAsia"/>
                      <w:color w:val="000000" w:themeColor="text1"/>
                      <w:sz w:val="21"/>
                      <w:szCs w:val="21"/>
                      <w:u w:val="single"/>
                      <w:lang w:val="en-US" w:eastAsia="zh-CN"/>
                    </w:rPr>
                  </w:pPr>
                  <w:r>
                    <w:rPr>
                      <w:rFonts w:hint="eastAsia" w:cs="Times New Roman"/>
                      <w:color w:val="000000" w:themeColor="text1"/>
                      <w:sz w:val="21"/>
                      <w:szCs w:val="21"/>
                      <w:u w:val="single"/>
                      <w:lang w:val="en-US" w:eastAsia="zh-CN"/>
                    </w:rPr>
                    <w:t>/</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bCs/>
                      <w:color w:val="000000" w:themeColor="text1"/>
                      <w:sz w:val="21"/>
                      <w:szCs w:val="21"/>
                      <w:u w:val="single"/>
                    </w:rPr>
                  </w:pPr>
                  <w:r>
                    <w:rPr>
                      <w:rFonts w:cs="Times New Roman"/>
                      <w:bCs/>
                      <w:color w:val="000000" w:themeColor="text1"/>
                      <w:sz w:val="21"/>
                      <w:szCs w:val="21"/>
                      <w:u w:val="single"/>
                    </w:rPr>
                    <w:t>0.001</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0.2</w:t>
                  </w:r>
                  <w:r>
                    <w:rPr>
                      <w:rFonts w:hint="eastAsia" w:cs="Times New Roman"/>
                      <w:color w:val="000000" w:themeColor="text1"/>
                      <w:sz w:val="21"/>
                      <w:szCs w:val="21"/>
                      <w:u w:val="single"/>
                      <w:lang w:eastAsia="zh-CN"/>
                    </w:rPr>
                    <w:t>吨</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车辆</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油类</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0.01</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桶装</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9</w:t>
                  </w:r>
                </w:p>
              </w:tc>
              <w:tc>
                <w:tcPr>
                  <w:tcW w:w="62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水</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eastAsiaTheme="minorEastAsia"/>
                      <w:color w:val="000000" w:themeColor="text1"/>
                      <w:sz w:val="21"/>
                      <w:szCs w:val="21"/>
                      <w:u w:val="single"/>
                      <w:lang w:val="en-US" w:eastAsia="zh-CN"/>
                    </w:rPr>
                  </w:pPr>
                  <w:r>
                    <w:rPr>
                      <w:rFonts w:hint="eastAsia" w:cs="Times New Roman"/>
                      <w:color w:val="000000" w:themeColor="text1"/>
                      <w:sz w:val="21"/>
                      <w:szCs w:val="21"/>
                      <w:u w:val="single"/>
                      <w:lang w:val="en-US" w:eastAsia="zh-CN"/>
                    </w:rPr>
                    <w:t>/</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hint="eastAsia" w:cs="Times New Roman"/>
                      <w:color w:val="FF0000"/>
                      <w:sz w:val="21"/>
                      <w:szCs w:val="21"/>
                      <w:u w:val="single"/>
                    </w:rPr>
                    <w:t>138859.8</w:t>
                  </w:r>
                  <w:r>
                    <w:rPr>
                      <w:rFonts w:cs="Times New Roman"/>
                      <w:color w:val="FF0000"/>
                      <w:sz w:val="21"/>
                      <w:szCs w:val="21"/>
                      <w:u w:val="single"/>
                    </w:rPr>
                    <w:t>t</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自来水管网、回收用水</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2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10</w:t>
                  </w:r>
                </w:p>
              </w:tc>
              <w:tc>
                <w:tcPr>
                  <w:tcW w:w="629"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电</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cs="Times New Roman" w:eastAsiaTheme="minorEastAsia"/>
                      <w:color w:val="000000" w:themeColor="text1"/>
                      <w:sz w:val="21"/>
                      <w:szCs w:val="21"/>
                      <w:u w:val="single"/>
                      <w:lang w:val="en-US" w:eastAsia="zh-CN"/>
                    </w:rPr>
                  </w:pPr>
                  <w:r>
                    <w:rPr>
                      <w:rFonts w:hint="eastAsia" w:cs="Times New Roman"/>
                      <w:color w:val="000000" w:themeColor="text1"/>
                      <w:sz w:val="21"/>
                      <w:szCs w:val="21"/>
                      <w:u w:val="single"/>
                      <w:lang w:val="en-US" w:eastAsia="zh-CN"/>
                    </w:rPr>
                    <w:t>/</w:t>
                  </w:r>
                </w:p>
              </w:tc>
              <w:tc>
                <w:tcPr>
                  <w:tcW w:w="586"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bCs/>
                      <w:color w:val="000000" w:themeColor="text1"/>
                      <w:sz w:val="21"/>
                      <w:szCs w:val="21"/>
                      <w:u w:val="single"/>
                    </w:rPr>
                    <w:t>/</w:t>
                  </w:r>
                </w:p>
              </w:tc>
              <w:tc>
                <w:tcPr>
                  <w:tcW w:w="565"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bCs/>
                      <w:color w:val="000000" w:themeColor="text1"/>
                      <w:sz w:val="21"/>
                      <w:szCs w:val="21"/>
                      <w:u w:val="single"/>
                    </w:rPr>
                    <w:t>40.5万kwh</w:t>
                  </w:r>
                </w:p>
              </w:tc>
              <w:tc>
                <w:tcPr>
                  <w:tcW w:w="593"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c>
                <w:tcPr>
                  <w:tcW w:w="49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c>
                <w:tcPr>
                  <w:tcW w:w="477"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c>
                <w:tcPr>
                  <w:tcW w:w="338" w:type="pct"/>
                  <w:vAlign w:val="center"/>
                </w:tcPr>
                <w:p>
                  <w:pPr>
                    <w:keepNext w:val="0"/>
                    <w:keepLines w:val="0"/>
                    <w:pageBreakBefore w:val="0"/>
                    <w:kinsoku/>
                    <w:wordWrap/>
                    <w:overflowPunct/>
                    <w:topLinePunct w:val="0"/>
                    <w:autoSpaceDE/>
                    <w:autoSpaceDN/>
                    <w:bidi w:val="0"/>
                    <w:adjustRightInd w:val="0"/>
                    <w:snapToGrid w:val="0"/>
                    <w:jc w:val="center"/>
                    <w:textAlignment w:val="auto"/>
                    <w:rPr>
                      <w:rFonts w:cs="Times New Roman"/>
                      <w:color w:val="000000" w:themeColor="text1"/>
                      <w:sz w:val="21"/>
                      <w:szCs w:val="21"/>
                      <w:u w:val="single"/>
                    </w:rPr>
                  </w:pPr>
                  <w:r>
                    <w:rPr>
                      <w:rFonts w:cs="Times New Roman"/>
                      <w:color w:val="000000" w:themeColor="text1"/>
                      <w:sz w:val="21"/>
                      <w:szCs w:val="21"/>
                      <w:u w:val="single"/>
                    </w:rPr>
                    <w:t>/</w:t>
                  </w:r>
                </w:p>
              </w:tc>
            </w:tr>
          </w:tbl>
          <w:p>
            <w:pPr>
              <w:pStyle w:val="113"/>
              <w:spacing w:before="0" w:line="360" w:lineRule="auto"/>
              <w:ind w:firstLine="480"/>
              <w:rPr>
                <w:rFonts w:ascii="Times New Roman" w:hAnsi="Times New Roman" w:cs="Times New Roman"/>
              </w:rPr>
            </w:pPr>
            <w:r>
              <w:rPr>
                <w:rFonts w:ascii="Times New Roman" w:hAnsi="Times New Roman" w:cs="Times New Roman"/>
              </w:rPr>
              <w:t>原辅料理化性质：</w:t>
            </w:r>
          </w:p>
          <w:p>
            <w:pPr>
              <w:pStyle w:val="146"/>
              <w:spacing w:line="360" w:lineRule="auto"/>
              <w:rPr>
                <w:rFonts w:ascii="Times New Roman" w:eastAsiaTheme="minorEastAsia"/>
                <w:sz w:val="24"/>
                <w:szCs w:val="24"/>
              </w:rPr>
            </w:pPr>
            <w:r>
              <w:rPr>
                <w:rFonts w:ascii="Times New Roman" w:eastAsiaTheme="minorEastAsia"/>
                <w:sz w:val="24"/>
                <w:szCs w:val="24"/>
              </w:rPr>
              <w:t>水泥：主要成分是硅酸钙，是由白色硅酸盐水泥熟料加入石膏，磨细制成的水硬性胶凝材料。</w:t>
            </w:r>
          </w:p>
          <w:p>
            <w:pPr>
              <w:pStyle w:val="146"/>
              <w:spacing w:line="360" w:lineRule="auto"/>
              <w:rPr>
                <w:rFonts w:ascii="Times New Roman" w:eastAsiaTheme="minorEastAsia"/>
                <w:sz w:val="24"/>
                <w:szCs w:val="24"/>
              </w:rPr>
            </w:pPr>
            <w:r>
              <w:rPr>
                <w:rFonts w:ascii="Times New Roman" w:eastAsiaTheme="minorEastAsia"/>
                <w:sz w:val="24"/>
                <w:szCs w:val="24"/>
              </w:rPr>
              <w:t>砂石：主要成分是二氧化硅（SiO</w:t>
            </w:r>
            <w:r>
              <w:rPr>
                <w:rFonts w:ascii="Times New Roman" w:eastAsiaTheme="minorEastAsia"/>
                <w:sz w:val="24"/>
                <w:szCs w:val="24"/>
                <w:vertAlign w:val="subscript"/>
              </w:rPr>
              <w:t>2</w:t>
            </w:r>
            <w:r>
              <w:rPr>
                <w:rFonts w:ascii="Times New Roman" w:eastAsiaTheme="minorEastAsia"/>
                <w:sz w:val="24"/>
                <w:szCs w:val="24"/>
              </w:rPr>
              <w:t>）。二氧化硅的化学性质不活泼，不与水反应，也不与酸（氢氟酸除外）反应，但能与碱生成盐。</w:t>
            </w:r>
          </w:p>
          <w:p>
            <w:pPr>
              <w:pStyle w:val="146"/>
              <w:spacing w:line="360" w:lineRule="auto"/>
              <w:rPr>
                <w:rFonts w:hint="default" w:ascii="Times New Roman" w:hAnsi="Times New Roman" w:cs="Times New Roman" w:eastAsiaTheme="minorEastAsia"/>
                <w:color w:val="0000FF"/>
                <w:sz w:val="24"/>
                <w:szCs w:val="24"/>
                <w:u w:val="single"/>
              </w:rPr>
            </w:pPr>
            <w:r>
              <w:rPr>
                <w:rFonts w:hint="default" w:ascii="Times New Roman" w:hAnsi="Times New Roman" w:cs="Times New Roman" w:eastAsiaTheme="minorEastAsia"/>
                <w:color w:val="0000FF"/>
                <w:sz w:val="24"/>
                <w:szCs w:val="24"/>
                <w:u w:val="single"/>
              </w:rPr>
              <w:t>矿粉：符合工程要求的石粉及其代用品的统称。是将矿石粉碎加工后的产物，混凝土矿粉属于硫铝酸钙型混凝土矿粉，不含钠盐，会引起混凝土碱骨料反应。而耐久性良好，膨胀性能稳定，强度持续上升。普通混凝土由于收缩开裂，往往发生泄露，降低了它的使用功能和耐久性。在水泥中内掺1.5%~2%的矿粉，可拌制成补偿收缩混凝土，大大提高了混凝土结构的抗裂防水能力。矿粉的亲水系数是单位矿粉在同体积水(极性分子)中和同体积煤油(非极性分子)中的膨胀的体积之比值。本项目矿粉的含量主要是氧化钙40%、二氧化硅30%、三氧化二铝16%，三氧化二铁12%。本项目矿粉主要由湖南三泓建材有限公司提供，提供的矿粉主要为矿物材料，矿粉成分监测单具体见附件。</w:t>
            </w:r>
          </w:p>
          <w:p>
            <w:pPr>
              <w:pStyle w:val="146"/>
              <w:spacing w:line="360" w:lineRule="auto"/>
              <w:rPr>
                <w:rFonts w:ascii="Times New Roman" w:eastAsiaTheme="minorEastAsia"/>
                <w:sz w:val="24"/>
                <w:szCs w:val="24"/>
              </w:rPr>
            </w:pPr>
            <w:r>
              <w:rPr>
                <w:rFonts w:hint="default" w:ascii="Times New Roman" w:hAnsi="Times New Roman" w:cs="Times New Roman" w:eastAsiaTheme="minorEastAsia"/>
                <w:sz w:val="24"/>
                <w:szCs w:val="24"/>
              </w:rPr>
              <w:t>粉煤灰：是从煤燃烧后的烟气中收捕下来的细灰，粉煤灰是燃煤电厂排出的主要固体废物。我国火电厂粉煤灰的主要氧化物组成为：SiO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、Al</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O</w:t>
            </w:r>
            <w:r>
              <w:rPr>
                <w:rFonts w:hint="default" w:ascii="Times New Roman" w:hAnsi="Times New Roman" w:cs="Times New Roman" w:eastAsiaTheme="minorEastAsia"/>
                <w:sz w:val="24"/>
                <w:szCs w:val="24"/>
                <w:vertAlign w:val="subscript"/>
              </w:rPr>
              <w:t>3</w:t>
            </w:r>
            <w:r>
              <w:rPr>
                <w:rFonts w:hint="default" w:ascii="Times New Roman" w:hAnsi="Times New Roman" w:cs="Times New Roman" w:eastAsiaTheme="minorEastAsia"/>
                <w:sz w:val="24"/>
                <w:szCs w:val="24"/>
              </w:rPr>
              <w:t>、FeO、Fe</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O</w:t>
            </w:r>
            <w:r>
              <w:rPr>
                <w:rFonts w:hint="default" w:ascii="Times New Roman" w:hAnsi="Times New Roman" w:cs="Times New Roman" w:eastAsiaTheme="minorEastAsia"/>
                <w:sz w:val="24"/>
                <w:szCs w:val="24"/>
                <w:vertAlign w:val="subscript"/>
              </w:rPr>
              <w:t>3</w:t>
            </w:r>
            <w:r>
              <w:rPr>
                <w:rFonts w:hint="default" w:ascii="Times New Roman" w:hAnsi="Times New Roman" w:cs="Times New Roman" w:eastAsiaTheme="minorEastAsia"/>
                <w:sz w:val="24"/>
                <w:szCs w:val="24"/>
              </w:rPr>
              <w:t>、CaO、TiO</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等。粉煤灰外观类似水泥，颜色在粉煤灰外观类似水泥，颜色在乳白色到灰黑色之间变化。粉煤灰的颜色是一项重要的质量指标，可以反映含碳量的多少和差异。在一定程度上也可以反映粉煤灰的细度，颜色越深粉煤灰粒度越细，含碳量越高。粉煤灰就有低钙粉煤灰和高钙粉煤灰之分。通常高钙粉煤灰的颜色偏黄，低钙粉煤灰的颜色偏灰。粉煤灰颗粒呈多孔型蜂窝状组织，比表面积较大，具有较高的吸附活性，颗粒的粒径范围为0.5~300μm。并且珠壁具有多孔结构，</w:t>
            </w:r>
            <w:r>
              <w:rPr>
                <w:rFonts w:ascii="Times New Roman" w:eastAsiaTheme="minorEastAsia"/>
                <w:sz w:val="24"/>
                <w:szCs w:val="24"/>
              </w:rPr>
              <w:t>孔隙率高达50%-80%，有很强的吸水性。</w:t>
            </w:r>
          </w:p>
          <w:p>
            <w:pPr>
              <w:adjustRightInd w:val="0"/>
              <w:snapToGrid w:val="0"/>
              <w:spacing w:line="360" w:lineRule="auto"/>
              <w:ind w:firstLine="480" w:firstLineChars="200"/>
              <w:rPr>
                <w:rFonts w:cs="Times New Roman"/>
                <w:szCs w:val="24"/>
              </w:rPr>
            </w:pPr>
            <w:r>
              <w:rPr>
                <w:rFonts w:cs="Times New Roman"/>
                <w:szCs w:val="24"/>
              </w:rPr>
              <w:t>外加剂：又叫减水剂，是新型聚羧酸高性能减水剂，具体成分为甲基烯丙基聚氧乙烯醚和烯丙基聚氧乙烯醚。聚羧酸高性能减水剂为羧基、磺酸基、羟基和聚氧乙烯基功能性基团合成，不含氨基磺酸盐、脂肪族、萘系等，本减水剂不必使用甲醛，生产与使用工程对环境无任何不良影响，是一种安全、绿色环保型高性能减水剂。主要作用：在混凝土和易性及水泥用量不变条件下，能减少拌合用水量、提高混凝土强度；或在和易性及强度不变条件下，节约水泥用量的外加剂。</w:t>
            </w:r>
            <w:r>
              <w:rPr>
                <w:rFonts w:hint="default" w:ascii="Times New Roman" w:hAnsi="Times New Roman" w:cs="Times New Roman"/>
                <w:szCs w:val="24"/>
              </w:rPr>
              <w:t>本项目使用的为液体外加剂，主要性能：①掺量低、减水率高：减水率可高达45%，可用于配制高强以及高性能混凝土。②坍落度轻时损失小：预拌混凝土2h坍落度损失小于15%，对于商品混凝土的长距离运输及泵送施工极为有利。③混凝土工作性好、粘聚性好，混凝土易于搅拌。④与不同品种水泥和掺合料相容性好：与不同品种水泥和掺合料具有很好的相容性。⑤混凝土收缩小：可明显降低混凝土收缩，显著提高混凝土体积稳定性及耐久性。⑥碱含量极低：碱含量≤0.2%。产品稳定性好：低温时无沉淀析出。⑦产品绿色环保：产品无毒无害，是绿色环保产品，有利于可持续发展。</w:t>
            </w:r>
          </w:p>
          <w:p>
            <w:pPr>
              <w:pStyle w:val="7"/>
              <w:rPr>
                <w:rFonts w:cs="Times New Roman" w:eastAsiaTheme="minorEastAsia"/>
                <w:color w:val="000000" w:themeColor="text1"/>
              </w:rPr>
            </w:pPr>
            <w:r>
              <w:rPr>
                <w:rFonts w:cs="Times New Roman" w:eastAsiaTheme="minorEastAsia"/>
                <w:color w:val="000000" w:themeColor="text1"/>
              </w:rPr>
              <w:t>项目主要生产设备</w:t>
            </w:r>
          </w:p>
          <w:p>
            <w:pPr>
              <w:spacing w:line="360" w:lineRule="auto"/>
              <w:ind w:firstLine="480" w:firstLineChars="200"/>
              <w:rPr>
                <w:rFonts w:cs="Times New Roman"/>
              </w:rPr>
            </w:pPr>
            <w:r>
              <w:rPr>
                <w:rFonts w:cs="Times New Roman"/>
              </w:rPr>
              <w:t>项目设备选型主要包括2套</w:t>
            </w:r>
            <w:r>
              <w:rPr>
                <w:rFonts w:cs="Times New Roman"/>
                <w:szCs w:val="24"/>
              </w:rPr>
              <w:t>HZS180置顶式环保型混凝土搅拌设备，其清单情况见下表所示。</w:t>
            </w:r>
          </w:p>
          <w:p>
            <w:pPr>
              <w:pStyle w:val="15"/>
              <w:spacing w:line="240" w:lineRule="auto"/>
              <w:rPr>
                <w:rFonts w:cs="Times New Roman" w:eastAsiaTheme="minorEastAsia"/>
                <w:sz w:val="21"/>
                <w:szCs w:val="21"/>
              </w:rPr>
            </w:pPr>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1.3</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4</w:t>
            </w:r>
            <w:r>
              <w:rPr>
                <w:rFonts w:cs="Times New Roman" w:eastAsiaTheme="minorEastAsia"/>
                <w:sz w:val="21"/>
                <w:szCs w:val="21"/>
              </w:rPr>
              <w:fldChar w:fldCharType="end"/>
            </w:r>
            <w:r>
              <w:rPr>
                <w:rFonts w:cs="Times New Roman" w:eastAsiaTheme="minorEastAsia"/>
                <w:sz w:val="21"/>
                <w:szCs w:val="21"/>
              </w:rPr>
              <w:t xml:space="preserve">  主要生产设备一览表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564"/>
              <w:gridCol w:w="3298"/>
              <w:gridCol w:w="1499"/>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序号</w:t>
                  </w:r>
                </w:p>
              </w:tc>
              <w:tc>
                <w:tcPr>
                  <w:tcW w:w="942"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名称</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型号和生产能力</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数量（单位）</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使用工序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砼生产线</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HZS180</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生产搅拌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1.1</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搅拌楼</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szCs w:val="22"/>
                    </w:rPr>
                    <w:t>全钢构</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1.2</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搅拌主机</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szCs w:val="22"/>
                    </w:rPr>
                    <w:t>双卧轴强制式搅拌机</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2台</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1.3</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出料斗</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进料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1.4</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卸料装置</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卸料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1.5</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水泥称量装置</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1.6</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粉煤灰称量装置</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1.7</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color w:val="000000" w:themeColor="text1"/>
                      <w:sz w:val="21"/>
                      <w:szCs w:val="22"/>
                    </w:rPr>
                    <w:t>矿粉称量装置</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地磅</w:t>
                  </w:r>
                </w:p>
              </w:tc>
              <w:tc>
                <w:tcPr>
                  <w:tcW w:w="1986" w:type="pct"/>
                  <w:vAlign w:val="center"/>
                </w:tcPr>
                <w:p>
                  <w:pPr>
                    <w:widowControl/>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120t</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1台</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过磅称量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3</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试验设备</w:t>
                  </w:r>
                </w:p>
              </w:tc>
              <w:tc>
                <w:tcPr>
                  <w:tcW w:w="1986" w:type="pct"/>
                  <w:vAlign w:val="center"/>
                </w:tcPr>
                <w:p>
                  <w:pPr>
                    <w:widowControl/>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MYL-200D</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质量检测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4</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装载机</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ZL-50型</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2台</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5</w:t>
                  </w:r>
                </w:p>
              </w:tc>
              <w:tc>
                <w:tcPr>
                  <w:tcW w:w="942" w:type="pct"/>
                  <w:vAlign w:val="center"/>
                </w:tcPr>
                <w:p>
                  <w:pPr>
                    <w:jc w:val="center"/>
                    <w:rPr>
                      <w:rFonts w:hint="default" w:ascii="Times New Roman" w:hAnsi="Times New Roman" w:cs="Times New Roman"/>
                      <w:bCs/>
                      <w:color w:val="000000" w:themeColor="text1"/>
                      <w:kern w:val="0"/>
                      <w:sz w:val="21"/>
                    </w:rPr>
                  </w:pPr>
                  <w:r>
                    <w:rPr>
                      <w:rFonts w:hint="default" w:ascii="Times New Roman" w:hAnsi="Times New Roman" w:cs="Times New Roman"/>
                      <w:bCs/>
                      <w:color w:val="000000" w:themeColor="text1"/>
                      <w:kern w:val="0"/>
                      <w:sz w:val="21"/>
                    </w:rPr>
                    <w:t>变压器</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1000KV</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1台</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6</w:t>
                  </w:r>
                </w:p>
              </w:tc>
              <w:tc>
                <w:tcPr>
                  <w:tcW w:w="942"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智能喷雾系统</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FBP-70.30Z-30</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7</w:t>
                  </w:r>
                </w:p>
              </w:tc>
              <w:tc>
                <w:tcPr>
                  <w:tcW w:w="942"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洗车机</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X-LM60G龙门式全自动</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8</w:t>
                  </w:r>
                </w:p>
              </w:tc>
              <w:tc>
                <w:tcPr>
                  <w:tcW w:w="942"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砂石分离机</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FBF-XBS</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9</w:t>
                  </w:r>
                </w:p>
              </w:tc>
              <w:tc>
                <w:tcPr>
                  <w:tcW w:w="942"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低压打料系统</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50A</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1套</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10</w:t>
                  </w:r>
                </w:p>
              </w:tc>
              <w:tc>
                <w:tcPr>
                  <w:tcW w:w="942"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柴油发电机</w:t>
                  </w:r>
                </w:p>
              </w:tc>
              <w:tc>
                <w:tcPr>
                  <w:tcW w:w="198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250W</w:t>
                  </w:r>
                </w:p>
              </w:tc>
              <w:tc>
                <w:tcPr>
                  <w:tcW w:w="903"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1台</w:t>
                  </w:r>
                </w:p>
              </w:tc>
              <w:tc>
                <w:tcPr>
                  <w:tcW w:w="746" w:type="pct"/>
                  <w:vAlign w:val="center"/>
                </w:tcPr>
                <w:p>
                  <w:pPr>
                    <w:jc w:val="center"/>
                    <w:rPr>
                      <w:rFonts w:hint="default" w:ascii="Times New Roman" w:hAnsi="Times New Roman" w:cs="Times New Roman"/>
                      <w:color w:val="000000" w:themeColor="text1"/>
                      <w:sz w:val="21"/>
                    </w:rPr>
                  </w:pPr>
                  <w:r>
                    <w:rPr>
                      <w:rFonts w:hint="default" w:ascii="Times New Roman" w:hAnsi="Times New Roman" w:cs="Times New Roman"/>
                      <w:color w:val="000000" w:themeColor="text1"/>
                      <w:sz w:val="21"/>
                    </w:rPr>
                    <w:t>用于发电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pct"/>
                  <w:vAlign w:val="center"/>
                </w:tcPr>
                <w:p>
                  <w:pPr>
                    <w:jc w:val="center"/>
                    <w:rPr>
                      <w:rFonts w:hint="default" w:ascii="Times New Roman" w:hAnsi="Times New Roman" w:cs="Times New Roman"/>
                      <w:color w:val="000000" w:themeColor="text1"/>
                      <w:sz w:val="21"/>
                      <w:u w:val="single"/>
                    </w:rPr>
                  </w:pPr>
                  <w:r>
                    <w:rPr>
                      <w:rFonts w:hint="default" w:ascii="Times New Roman" w:hAnsi="Times New Roman" w:cs="Times New Roman"/>
                      <w:color w:val="000000" w:themeColor="text1"/>
                      <w:sz w:val="21"/>
                      <w:u w:val="single"/>
                    </w:rPr>
                    <w:t>11</w:t>
                  </w:r>
                </w:p>
              </w:tc>
              <w:tc>
                <w:tcPr>
                  <w:tcW w:w="942" w:type="pct"/>
                  <w:vAlign w:val="center"/>
                </w:tcPr>
                <w:p>
                  <w:pPr>
                    <w:jc w:val="center"/>
                    <w:rPr>
                      <w:rFonts w:hint="default" w:ascii="Times New Roman" w:hAnsi="Times New Roman" w:cs="Times New Roman"/>
                      <w:color w:val="000000" w:themeColor="text1"/>
                      <w:sz w:val="21"/>
                      <w:u w:val="single"/>
                    </w:rPr>
                  </w:pPr>
                  <w:r>
                    <w:rPr>
                      <w:rFonts w:hint="default" w:ascii="Times New Roman" w:hAnsi="Times New Roman" w:cs="Times New Roman"/>
                      <w:color w:val="000000" w:themeColor="text1"/>
                      <w:sz w:val="21"/>
                      <w:u w:val="single"/>
                    </w:rPr>
                    <w:t>原料筒仓</w:t>
                  </w:r>
                </w:p>
              </w:tc>
              <w:tc>
                <w:tcPr>
                  <w:tcW w:w="1986" w:type="pct"/>
                  <w:vAlign w:val="center"/>
                </w:tcPr>
                <w:p>
                  <w:pPr>
                    <w:jc w:val="center"/>
                    <w:rPr>
                      <w:rFonts w:hint="default" w:ascii="Times New Roman" w:hAnsi="Times New Roman" w:cs="Times New Roman"/>
                      <w:color w:val="000000" w:themeColor="text1"/>
                      <w:sz w:val="21"/>
                      <w:u w:val="single"/>
                    </w:rPr>
                  </w:pPr>
                  <w:r>
                    <w:rPr>
                      <w:rFonts w:hint="default" w:ascii="Times New Roman" w:hAnsi="Times New Roman" w:cs="Times New Roman"/>
                      <w:color w:val="000000" w:themeColor="text1"/>
                      <w:sz w:val="21"/>
                      <w:u w:val="single"/>
                    </w:rPr>
                    <w:t>共配置8个200T和2个100t原料罐，其中4个为水泥料罐，2个粉煤灰罐，2个矿粉罐，2个减水剂罐</w:t>
                  </w:r>
                </w:p>
              </w:tc>
              <w:tc>
                <w:tcPr>
                  <w:tcW w:w="903" w:type="pct"/>
                  <w:vAlign w:val="center"/>
                </w:tcPr>
                <w:p>
                  <w:pPr>
                    <w:jc w:val="center"/>
                    <w:rPr>
                      <w:rFonts w:hint="default" w:ascii="Times New Roman" w:hAnsi="Times New Roman" w:cs="Times New Roman"/>
                      <w:color w:val="000000" w:themeColor="text1"/>
                      <w:sz w:val="21"/>
                      <w:u w:val="single"/>
                    </w:rPr>
                  </w:pPr>
                  <w:r>
                    <w:rPr>
                      <w:rFonts w:hint="default" w:ascii="Times New Roman" w:hAnsi="Times New Roman" w:cs="Times New Roman"/>
                      <w:color w:val="000000" w:themeColor="text1"/>
                      <w:sz w:val="21"/>
                      <w:u w:val="single"/>
                    </w:rPr>
                    <w:t>10个</w:t>
                  </w:r>
                </w:p>
              </w:tc>
              <w:tc>
                <w:tcPr>
                  <w:tcW w:w="746" w:type="pct"/>
                  <w:vAlign w:val="center"/>
                </w:tcPr>
                <w:p>
                  <w:pPr>
                    <w:jc w:val="center"/>
                    <w:rPr>
                      <w:rFonts w:hint="default" w:ascii="Times New Roman" w:hAnsi="Times New Roman" w:cs="Times New Roman"/>
                      <w:color w:val="000000" w:themeColor="text1"/>
                      <w:sz w:val="21"/>
                      <w:u w:val="single"/>
                    </w:rPr>
                  </w:pPr>
                  <w:r>
                    <w:rPr>
                      <w:rFonts w:hint="default" w:ascii="Times New Roman" w:hAnsi="Times New Roman" w:cs="Times New Roman"/>
                      <w:color w:val="000000" w:themeColor="text1"/>
                      <w:sz w:val="21"/>
                      <w:u w:val="single"/>
                    </w:rPr>
                    <w:t>装原辅材料</w:t>
                  </w:r>
                </w:p>
              </w:tc>
            </w:tr>
          </w:tbl>
          <w:p>
            <w:pPr>
              <w:pStyle w:val="7"/>
              <w:rPr>
                <w:rFonts w:cs="Times New Roman" w:eastAsiaTheme="minorEastAsia"/>
                <w:color w:val="000000" w:themeColor="text1"/>
              </w:rPr>
            </w:pPr>
            <w:r>
              <w:rPr>
                <w:rFonts w:cs="Times New Roman" w:eastAsiaTheme="minorEastAsia"/>
                <w:color w:val="000000" w:themeColor="text1"/>
              </w:rPr>
              <w:t>交通运输</w:t>
            </w:r>
          </w:p>
          <w:p>
            <w:pPr>
              <w:spacing w:line="360" w:lineRule="auto"/>
              <w:ind w:firstLine="480" w:firstLineChars="200"/>
              <w:rPr>
                <w:rFonts w:cs="Times New Roman"/>
              </w:rPr>
            </w:pPr>
            <w:r>
              <w:rPr>
                <w:rFonts w:cs="Times New Roman"/>
              </w:rPr>
              <w:t>本工程生产材料主要由汽车运至生产区内，也可直接运抵料场堆场区。工程区建筑物四周设环行道路，生产区地坪、料场堆场区内均可直接通车，与主道路形成整体联系，保证人流、物流顺畅。</w:t>
            </w:r>
          </w:p>
          <w:p>
            <w:pPr>
              <w:pStyle w:val="7"/>
              <w:rPr>
                <w:rFonts w:cs="Times New Roman" w:eastAsiaTheme="minorEastAsia"/>
                <w:color w:val="000000" w:themeColor="text1"/>
              </w:rPr>
            </w:pPr>
            <w:r>
              <w:rPr>
                <w:rFonts w:cs="Times New Roman" w:eastAsiaTheme="minorEastAsia"/>
                <w:color w:val="000000" w:themeColor="text1"/>
              </w:rPr>
              <w:t>公用工程</w:t>
            </w:r>
          </w:p>
          <w:p>
            <w:pPr>
              <w:spacing w:line="360" w:lineRule="auto"/>
              <w:ind w:firstLine="480" w:firstLineChars="200"/>
              <w:rPr>
                <w:rFonts w:cs="Times New Roman"/>
                <w:color w:val="000000" w:themeColor="text1"/>
              </w:rPr>
            </w:pPr>
            <w:r>
              <w:rPr>
                <w:rFonts w:cs="Times New Roman"/>
                <w:color w:val="000000" w:themeColor="text1"/>
              </w:rPr>
              <w:t>（1）供水</w:t>
            </w:r>
          </w:p>
          <w:p>
            <w:pPr>
              <w:spacing w:line="360" w:lineRule="auto"/>
              <w:ind w:firstLine="480" w:firstLineChars="200"/>
              <w:rPr>
                <w:rFonts w:cs="Times New Roman"/>
                <w:color w:val="FF0000"/>
                <w:szCs w:val="32"/>
              </w:rPr>
            </w:pPr>
            <w:r>
              <w:rPr>
                <w:rFonts w:cs="Times New Roman"/>
                <w:color w:val="000000" w:themeColor="text1"/>
              </w:rPr>
              <w:t>本工程水源为城市自来水。区内运营，生活给水管直接从区内供水干管引水，管网通往各构筑物设置的固定给水点，形成环状供水管网。生活给水系统与消防栓给水系统分开经营用水水管采用焊接钢管，消防给水管采用镀锌钢管，室内生活给水管给水塑料管。项目用水主要为生产用水、生活用水。生产用水主要为物料搅拌生产用水、搅拌机清洗用水、</w:t>
            </w:r>
            <w:r>
              <w:rPr>
                <w:rFonts w:cs="Times New Roman"/>
                <w:szCs w:val="32"/>
              </w:rPr>
              <w:t>混凝土运输罐车罐体清洗用水，混凝土运输车辆外部清洗水，地面及道路冲洗水等。</w:t>
            </w:r>
            <w:r>
              <w:rPr>
                <w:rFonts w:cs="Times New Roman"/>
                <w:color w:val="000000" w:themeColor="text1"/>
                <w:szCs w:val="32"/>
              </w:rPr>
              <w:t>总用水量为</w:t>
            </w:r>
            <w:r>
              <w:rPr>
                <w:rFonts w:hint="eastAsia" w:cs="Times New Roman"/>
                <w:color w:val="000000" w:themeColor="text1"/>
                <w:szCs w:val="32"/>
              </w:rPr>
              <w:t>345859.8</w:t>
            </w:r>
            <w:r>
              <w:rPr>
                <w:rFonts w:cs="Times New Roman"/>
                <w:color w:val="000000" w:themeColor="text1"/>
                <w:szCs w:val="32"/>
              </w:rPr>
              <w:t>t/a。具体见下表（计算过程见第五章）。</w:t>
            </w:r>
          </w:p>
          <w:p>
            <w:pPr>
              <w:keepNext/>
              <w:ind w:firstLine="422" w:firstLineChars="200"/>
              <w:jc w:val="center"/>
              <w:rPr>
                <w:rFonts w:cs="Times New Roman"/>
                <w:b/>
                <w:color w:val="000000" w:themeColor="text1"/>
                <w:sz w:val="21"/>
              </w:rPr>
            </w:pPr>
            <w:r>
              <w:rPr>
                <w:rFonts w:cs="Times New Roman"/>
                <w:b/>
                <w:color w:val="000000" w:themeColor="text1"/>
                <w:sz w:val="21"/>
              </w:rPr>
              <w:t>表</w:t>
            </w:r>
            <w:r>
              <w:rPr>
                <w:rFonts w:cs="Times New Roman"/>
                <w:b/>
                <w:color w:val="000000" w:themeColor="text1"/>
                <w:sz w:val="21"/>
              </w:rPr>
              <w:fldChar w:fldCharType="begin"/>
            </w:r>
            <w:r>
              <w:rPr>
                <w:rFonts w:cs="Times New Roman"/>
                <w:b/>
                <w:color w:val="000000" w:themeColor="text1"/>
                <w:sz w:val="21"/>
              </w:rPr>
              <w:instrText xml:space="preserve"> STYLEREF 2 \s </w:instrText>
            </w:r>
            <w:r>
              <w:rPr>
                <w:rFonts w:cs="Times New Roman"/>
                <w:b/>
                <w:color w:val="000000" w:themeColor="text1"/>
                <w:sz w:val="21"/>
              </w:rPr>
              <w:fldChar w:fldCharType="separate"/>
            </w:r>
            <w:r>
              <w:rPr>
                <w:rFonts w:cs="Times New Roman"/>
                <w:b/>
                <w:color w:val="000000" w:themeColor="text1"/>
                <w:sz w:val="21"/>
              </w:rPr>
              <w:t>1.3</w:t>
            </w:r>
            <w:r>
              <w:rPr>
                <w:rFonts w:cs="Times New Roman"/>
                <w:b/>
                <w:color w:val="000000" w:themeColor="text1"/>
                <w:sz w:val="21"/>
              </w:rPr>
              <w:fldChar w:fldCharType="end"/>
            </w:r>
            <w:r>
              <w:rPr>
                <w:rFonts w:cs="Times New Roman"/>
                <w:b/>
                <w:color w:val="000000" w:themeColor="text1"/>
                <w:sz w:val="21"/>
              </w:rPr>
              <w:noBreakHyphen/>
            </w:r>
            <w:r>
              <w:rPr>
                <w:rFonts w:cs="Times New Roman"/>
                <w:b/>
                <w:color w:val="000000" w:themeColor="text1"/>
                <w:sz w:val="21"/>
              </w:rPr>
              <w:fldChar w:fldCharType="begin"/>
            </w:r>
            <w:r>
              <w:rPr>
                <w:rFonts w:cs="Times New Roman"/>
                <w:b/>
                <w:color w:val="000000" w:themeColor="text1"/>
                <w:sz w:val="21"/>
              </w:rPr>
              <w:instrText xml:space="preserve"> SEQ 表 \* ARABIC \s 2 </w:instrText>
            </w:r>
            <w:r>
              <w:rPr>
                <w:rFonts w:cs="Times New Roman"/>
                <w:b/>
                <w:color w:val="000000" w:themeColor="text1"/>
                <w:sz w:val="21"/>
              </w:rPr>
              <w:fldChar w:fldCharType="separate"/>
            </w:r>
            <w:r>
              <w:rPr>
                <w:rFonts w:cs="Times New Roman"/>
                <w:b/>
                <w:color w:val="000000" w:themeColor="text1"/>
                <w:sz w:val="21"/>
              </w:rPr>
              <w:t>5</w:t>
            </w:r>
            <w:r>
              <w:rPr>
                <w:rFonts w:cs="Times New Roman"/>
                <w:b/>
                <w:color w:val="000000" w:themeColor="text1"/>
                <w:sz w:val="21"/>
              </w:rPr>
              <w:fldChar w:fldCharType="end"/>
            </w:r>
            <w:r>
              <w:rPr>
                <w:rFonts w:cs="Times New Roman"/>
                <w:b/>
                <w:color w:val="000000" w:themeColor="text1"/>
                <w:sz w:val="21"/>
              </w:rPr>
              <w:t xml:space="preserve">  项目用水情况一览表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61"/>
              <w:gridCol w:w="1036"/>
              <w:gridCol w:w="996"/>
              <w:gridCol w:w="863"/>
              <w:gridCol w:w="1005"/>
              <w:gridCol w:w="1005"/>
              <w:gridCol w:w="1005"/>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5" w:type="pct"/>
                  <w:vAlign w:val="center"/>
                </w:tcPr>
                <w:p>
                  <w:pPr>
                    <w:adjustRightInd w:val="0"/>
                    <w:snapToGrid w:val="0"/>
                    <w:jc w:val="center"/>
                    <w:rPr>
                      <w:rFonts w:cs="Times New Roman"/>
                      <w:sz w:val="21"/>
                    </w:rPr>
                  </w:pPr>
                  <w:r>
                    <w:rPr>
                      <w:rFonts w:cs="Times New Roman"/>
                      <w:sz w:val="21"/>
                    </w:rPr>
                    <w:t>序号</w:t>
                  </w:r>
                </w:p>
              </w:tc>
              <w:tc>
                <w:tcPr>
                  <w:tcW w:w="625" w:type="pct"/>
                  <w:vAlign w:val="center"/>
                </w:tcPr>
                <w:p>
                  <w:pPr>
                    <w:adjustRightInd w:val="0"/>
                    <w:snapToGrid w:val="0"/>
                    <w:jc w:val="center"/>
                    <w:rPr>
                      <w:rFonts w:cs="Times New Roman"/>
                      <w:sz w:val="21"/>
                    </w:rPr>
                  </w:pPr>
                  <w:r>
                    <w:rPr>
                      <w:rFonts w:cs="Times New Roman"/>
                      <w:sz w:val="21"/>
                    </w:rPr>
                    <w:t>用水单位</w:t>
                  </w:r>
                </w:p>
              </w:tc>
              <w:tc>
                <w:tcPr>
                  <w:tcW w:w="670" w:type="pct"/>
                  <w:vAlign w:val="center"/>
                </w:tcPr>
                <w:p>
                  <w:pPr>
                    <w:adjustRightInd w:val="0"/>
                    <w:snapToGrid w:val="0"/>
                    <w:jc w:val="center"/>
                    <w:rPr>
                      <w:rFonts w:cs="Times New Roman"/>
                      <w:sz w:val="21"/>
                    </w:rPr>
                  </w:pPr>
                  <w:r>
                    <w:rPr>
                      <w:rFonts w:cs="Times New Roman"/>
                      <w:sz w:val="21"/>
                    </w:rPr>
                    <w:t>用水定额</w:t>
                  </w:r>
                </w:p>
              </w:tc>
              <w:tc>
                <w:tcPr>
                  <w:tcW w:w="640" w:type="pct"/>
                  <w:vAlign w:val="center"/>
                </w:tcPr>
                <w:p>
                  <w:pPr>
                    <w:adjustRightInd w:val="0"/>
                    <w:snapToGrid w:val="0"/>
                    <w:jc w:val="center"/>
                    <w:rPr>
                      <w:rFonts w:cs="Times New Roman"/>
                      <w:sz w:val="21"/>
                    </w:rPr>
                  </w:pPr>
                  <w:r>
                    <w:rPr>
                      <w:rFonts w:cs="Times New Roman"/>
                      <w:sz w:val="21"/>
                    </w:rPr>
                    <w:t>用水规模</w:t>
                  </w:r>
                </w:p>
              </w:tc>
              <w:tc>
                <w:tcPr>
                  <w:tcW w:w="572" w:type="pct"/>
                  <w:vAlign w:val="center"/>
                </w:tcPr>
                <w:p>
                  <w:pPr>
                    <w:adjustRightInd w:val="0"/>
                    <w:snapToGrid w:val="0"/>
                    <w:jc w:val="center"/>
                    <w:rPr>
                      <w:rFonts w:cs="Times New Roman"/>
                      <w:sz w:val="21"/>
                    </w:rPr>
                  </w:pPr>
                  <w:r>
                    <w:rPr>
                      <w:rFonts w:cs="Times New Roman"/>
                      <w:sz w:val="21"/>
                    </w:rPr>
                    <w:t>日用水量(m</w:t>
                  </w:r>
                  <w:r>
                    <w:rPr>
                      <w:rFonts w:cs="Times New Roman"/>
                      <w:sz w:val="21"/>
                      <w:vertAlign w:val="superscript"/>
                    </w:rPr>
                    <w:t>3</w:t>
                  </w:r>
                  <w:r>
                    <w:rPr>
                      <w:rFonts w:cs="Times New Roman"/>
                      <w:sz w:val="21"/>
                    </w:rPr>
                    <w:t>/d)</w:t>
                  </w:r>
                </w:p>
              </w:tc>
              <w:tc>
                <w:tcPr>
                  <w:tcW w:w="565" w:type="pct"/>
                  <w:vAlign w:val="center"/>
                </w:tcPr>
                <w:p>
                  <w:pPr>
                    <w:adjustRightInd w:val="0"/>
                    <w:snapToGrid w:val="0"/>
                    <w:jc w:val="center"/>
                    <w:rPr>
                      <w:rFonts w:cs="Times New Roman"/>
                      <w:sz w:val="21"/>
                    </w:rPr>
                  </w:pPr>
                  <w:r>
                    <w:rPr>
                      <w:rFonts w:cs="Times New Roman"/>
                      <w:sz w:val="21"/>
                    </w:rPr>
                    <w:t>年用水量(m</w:t>
                  </w:r>
                  <w:r>
                    <w:rPr>
                      <w:rFonts w:cs="Times New Roman"/>
                      <w:sz w:val="21"/>
                      <w:vertAlign w:val="superscript"/>
                    </w:rPr>
                    <w:t>3</w:t>
                  </w:r>
                  <w:r>
                    <w:rPr>
                      <w:rFonts w:cs="Times New Roman"/>
                      <w:sz w:val="21"/>
                    </w:rPr>
                    <w:t>/a)</w:t>
                  </w:r>
                </w:p>
              </w:tc>
              <w:tc>
                <w:tcPr>
                  <w:tcW w:w="514" w:type="pct"/>
                  <w:vAlign w:val="center"/>
                </w:tcPr>
                <w:p>
                  <w:pPr>
                    <w:adjustRightInd w:val="0"/>
                    <w:snapToGrid w:val="0"/>
                    <w:jc w:val="center"/>
                    <w:rPr>
                      <w:rFonts w:cs="Times New Roman"/>
                      <w:sz w:val="21"/>
                    </w:rPr>
                  </w:pPr>
                  <w:r>
                    <w:rPr>
                      <w:rFonts w:cs="Times New Roman"/>
                      <w:sz w:val="21"/>
                    </w:rPr>
                    <w:t>损耗量(m</w:t>
                  </w:r>
                  <w:r>
                    <w:rPr>
                      <w:rFonts w:cs="Times New Roman"/>
                      <w:sz w:val="21"/>
                      <w:vertAlign w:val="superscript"/>
                    </w:rPr>
                    <w:t>3</w:t>
                  </w:r>
                  <w:r>
                    <w:rPr>
                      <w:rFonts w:cs="Times New Roman"/>
                      <w:sz w:val="21"/>
                    </w:rPr>
                    <w:t>/a)</w:t>
                  </w:r>
                </w:p>
              </w:tc>
              <w:tc>
                <w:tcPr>
                  <w:tcW w:w="525" w:type="pct"/>
                  <w:vAlign w:val="center"/>
                </w:tcPr>
                <w:p>
                  <w:pPr>
                    <w:adjustRightInd w:val="0"/>
                    <w:snapToGrid w:val="0"/>
                    <w:jc w:val="center"/>
                    <w:rPr>
                      <w:rFonts w:cs="Times New Roman"/>
                      <w:sz w:val="21"/>
                    </w:rPr>
                  </w:pPr>
                  <w:r>
                    <w:rPr>
                      <w:rFonts w:cs="Times New Roman"/>
                      <w:sz w:val="21"/>
                    </w:rPr>
                    <w:t>废水量(m</w:t>
                  </w:r>
                  <w:r>
                    <w:rPr>
                      <w:rFonts w:cs="Times New Roman"/>
                      <w:sz w:val="21"/>
                      <w:vertAlign w:val="superscript"/>
                    </w:rPr>
                    <w:t>3</w:t>
                  </w:r>
                  <w:r>
                    <w:rPr>
                      <w:rFonts w:cs="Times New Roman"/>
                      <w:sz w:val="21"/>
                    </w:rPr>
                    <w:t>/a)</w:t>
                  </w:r>
                </w:p>
              </w:tc>
              <w:tc>
                <w:tcPr>
                  <w:tcW w:w="649" w:type="pct"/>
                  <w:vAlign w:val="center"/>
                </w:tcPr>
                <w:p>
                  <w:pPr>
                    <w:adjustRightInd w:val="0"/>
                    <w:snapToGrid w:val="0"/>
                    <w:jc w:val="center"/>
                    <w:rPr>
                      <w:rFonts w:cs="Times New Roman"/>
                      <w:sz w:val="21"/>
                    </w:rPr>
                  </w:pPr>
                  <w:r>
                    <w:rPr>
                      <w:rFonts w:cs="Times New Roman"/>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5" w:type="pct"/>
                  <w:vAlign w:val="center"/>
                </w:tcPr>
                <w:p>
                  <w:pPr>
                    <w:adjustRightInd w:val="0"/>
                    <w:snapToGrid w:val="0"/>
                    <w:jc w:val="center"/>
                    <w:rPr>
                      <w:rFonts w:cs="Times New Roman"/>
                      <w:color w:val="FF0000"/>
                      <w:sz w:val="21"/>
                    </w:rPr>
                  </w:pPr>
                  <w:r>
                    <w:rPr>
                      <w:rFonts w:cs="Times New Roman"/>
                      <w:color w:val="FF0000"/>
                      <w:sz w:val="21"/>
                    </w:rPr>
                    <w:t>1</w:t>
                  </w:r>
                </w:p>
              </w:tc>
              <w:tc>
                <w:tcPr>
                  <w:tcW w:w="625" w:type="pct"/>
                  <w:vAlign w:val="center"/>
                </w:tcPr>
                <w:p>
                  <w:pPr>
                    <w:adjustRightInd w:val="0"/>
                    <w:snapToGrid w:val="0"/>
                    <w:jc w:val="center"/>
                    <w:rPr>
                      <w:rFonts w:cs="Times New Roman"/>
                      <w:color w:val="FF0000"/>
                      <w:sz w:val="21"/>
                    </w:rPr>
                  </w:pPr>
                  <w:r>
                    <w:rPr>
                      <w:rFonts w:cs="Times New Roman"/>
                      <w:color w:val="FF0000"/>
                      <w:sz w:val="21"/>
                    </w:rPr>
                    <w:t>物料搅拌生产用水</w:t>
                  </w:r>
                </w:p>
              </w:tc>
              <w:tc>
                <w:tcPr>
                  <w:tcW w:w="670" w:type="pct"/>
                  <w:vAlign w:val="center"/>
                </w:tcPr>
                <w:p>
                  <w:pPr>
                    <w:adjustRightInd w:val="0"/>
                    <w:snapToGrid w:val="0"/>
                    <w:jc w:val="center"/>
                    <w:rPr>
                      <w:rFonts w:cs="Times New Roman"/>
                      <w:color w:val="FF0000"/>
                      <w:sz w:val="21"/>
                    </w:rPr>
                  </w:pPr>
                  <w:r>
                    <w:rPr>
                      <w:rFonts w:cs="Times New Roman"/>
                      <w:color w:val="FF0000"/>
                      <w:sz w:val="21"/>
                    </w:rPr>
                    <w:t>0.1</w:t>
                  </w:r>
                  <w:r>
                    <w:rPr>
                      <w:rFonts w:hint="eastAsia" w:cs="Times New Roman"/>
                      <w:color w:val="FF0000"/>
                      <w:sz w:val="21"/>
                      <w:lang w:val="en-US" w:eastAsia="zh-CN"/>
                    </w:rPr>
                    <w:t>2</w:t>
                  </w:r>
                  <w:r>
                    <w:rPr>
                      <w:rFonts w:hint="eastAsia" w:cs="Times New Roman"/>
                      <w:color w:val="FF0000"/>
                      <w:sz w:val="21"/>
                    </w:rPr>
                    <w:t>t</w:t>
                  </w:r>
                </w:p>
                <w:p>
                  <w:pPr>
                    <w:adjustRightInd w:val="0"/>
                    <w:snapToGrid w:val="0"/>
                    <w:jc w:val="center"/>
                    <w:rPr>
                      <w:rFonts w:cs="Times New Roman"/>
                      <w:color w:val="FF0000"/>
                      <w:sz w:val="21"/>
                    </w:rPr>
                  </w:pPr>
                  <w:r>
                    <w:rPr>
                      <w:rFonts w:hint="eastAsia" w:cs="Times New Roman"/>
                      <w:color w:val="FF0000"/>
                      <w:sz w:val="21"/>
                    </w:rPr>
                    <w:t>/</w:t>
                  </w:r>
                  <w:r>
                    <w:rPr>
                      <w:rFonts w:cs="Times New Roman"/>
                      <w:color w:val="FF0000"/>
                      <w:sz w:val="21"/>
                    </w:rPr>
                    <w:t>m</w:t>
                  </w:r>
                  <w:r>
                    <w:rPr>
                      <w:rFonts w:cs="Times New Roman"/>
                      <w:color w:val="FF0000"/>
                      <w:sz w:val="21"/>
                      <w:vertAlign w:val="superscript"/>
                    </w:rPr>
                    <w:t>3</w:t>
                  </w:r>
                </w:p>
              </w:tc>
              <w:tc>
                <w:tcPr>
                  <w:tcW w:w="640" w:type="pct"/>
                  <w:vAlign w:val="center"/>
                </w:tcPr>
                <w:p>
                  <w:pPr>
                    <w:adjustRightInd w:val="0"/>
                    <w:snapToGrid w:val="0"/>
                    <w:jc w:val="center"/>
                    <w:rPr>
                      <w:rFonts w:cs="Times New Roman"/>
                      <w:color w:val="FF0000"/>
                      <w:sz w:val="21"/>
                    </w:rPr>
                  </w:pPr>
                  <w:r>
                    <w:rPr>
                      <w:rFonts w:cs="Times New Roman"/>
                      <w:color w:val="FF0000"/>
                      <w:sz w:val="21"/>
                    </w:rPr>
                    <w:t>/</w:t>
                  </w:r>
                </w:p>
              </w:tc>
              <w:tc>
                <w:tcPr>
                  <w:tcW w:w="572" w:type="pct"/>
                  <w:vAlign w:val="center"/>
                </w:tcPr>
                <w:p>
                  <w:pPr>
                    <w:adjustRightInd w:val="0"/>
                    <w:snapToGrid w:val="0"/>
                    <w:jc w:val="center"/>
                    <w:rPr>
                      <w:rFonts w:hint="default" w:cs="Times New Roman" w:eastAsiaTheme="minorEastAsia"/>
                      <w:color w:val="FF0000"/>
                      <w:sz w:val="21"/>
                      <w:lang w:val="en-US" w:eastAsia="zh-CN"/>
                    </w:rPr>
                  </w:pPr>
                  <w:r>
                    <w:rPr>
                      <w:rFonts w:hint="eastAsia" w:cs="Times New Roman"/>
                      <w:color w:val="FF0000"/>
                      <w:sz w:val="21"/>
                      <w:lang w:val="en-US" w:eastAsia="zh-CN"/>
                    </w:rPr>
                    <w:t>327.27</w:t>
                  </w:r>
                </w:p>
              </w:tc>
              <w:tc>
                <w:tcPr>
                  <w:tcW w:w="565" w:type="pct"/>
                  <w:vAlign w:val="center"/>
                </w:tcPr>
                <w:p>
                  <w:pPr>
                    <w:adjustRightInd w:val="0"/>
                    <w:snapToGrid w:val="0"/>
                    <w:jc w:val="center"/>
                    <w:rPr>
                      <w:rFonts w:hint="default" w:cs="Times New Roman" w:eastAsiaTheme="minorEastAsia"/>
                      <w:color w:val="FF0000"/>
                      <w:sz w:val="21"/>
                      <w:lang w:val="en-US" w:eastAsia="zh-CN"/>
                    </w:rPr>
                  </w:pPr>
                  <w:r>
                    <w:rPr>
                      <w:rFonts w:hint="eastAsia" w:cs="Times New Roman"/>
                      <w:color w:val="FF0000"/>
                      <w:sz w:val="21"/>
                      <w:lang w:val="en-US" w:eastAsia="zh-CN"/>
                    </w:rPr>
                    <w:t>108000</w:t>
                  </w:r>
                </w:p>
              </w:tc>
              <w:tc>
                <w:tcPr>
                  <w:tcW w:w="514" w:type="pct"/>
                  <w:vAlign w:val="center"/>
                </w:tcPr>
                <w:p>
                  <w:pPr>
                    <w:adjustRightInd w:val="0"/>
                    <w:snapToGrid w:val="0"/>
                    <w:jc w:val="center"/>
                    <w:rPr>
                      <w:rFonts w:hint="default" w:cs="Times New Roman" w:eastAsiaTheme="minorEastAsia"/>
                      <w:color w:val="FF0000"/>
                      <w:sz w:val="21"/>
                      <w:lang w:val="en-US" w:eastAsia="zh-CN"/>
                    </w:rPr>
                  </w:pPr>
                  <w:r>
                    <w:rPr>
                      <w:rFonts w:hint="eastAsia" w:cs="Times New Roman"/>
                      <w:color w:val="FF0000"/>
                      <w:sz w:val="21"/>
                      <w:lang w:val="en-US" w:eastAsia="zh-CN"/>
                    </w:rPr>
                    <w:t>21600</w:t>
                  </w:r>
                </w:p>
              </w:tc>
              <w:tc>
                <w:tcPr>
                  <w:tcW w:w="525" w:type="pct"/>
                  <w:vAlign w:val="center"/>
                </w:tcPr>
                <w:p>
                  <w:pPr>
                    <w:adjustRightInd w:val="0"/>
                    <w:snapToGrid w:val="0"/>
                    <w:jc w:val="center"/>
                    <w:rPr>
                      <w:rFonts w:cs="Times New Roman"/>
                      <w:color w:val="FF0000"/>
                      <w:sz w:val="21"/>
                    </w:rPr>
                  </w:pPr>
                  <w:r>
                    <w:rPr>
                      <w:rFonts w:cs="Times New Roman"/>
                      <w:color w:val="FF0000"/>
                      <w:sz w:val="21"/>
                    </w:rPr>
                    <w:t>除损耗外均进入产品</w:t>
                  </w:r>
                </w:p>
              </w:tc>
              <w:tc>
                <w:tcPr>
                  <w:tcW w:w="649" w:type="pct"/>
                  <w:vAlign w:val="center"/>
                </w:tcPr>
                <w:p>
                  <w:pPr>
                    <w:adjustRightInd w:val="0"/>
                    <w:snapToGrid w:val="0"/>
                    <w:rPr>
                      <w:rFonts w:cs="Times New Roman"/>
                      <w:color w:val="FF0000"/>
                      <w:sz w:val="21"/>
                    </w:rPr>
                  </w:pPr>
                  <w:r>
                    <w:rPr>
                      <w:rFonts w:cs="Times New Roman"/>
                      <w:color w:val="FF0000"/>
                      <w:sz w:val="21"/>
                    </w:rPr>
                    <w:t>年生产</w:t>
                  </w:r>
                  <w:r>
                    <w:rPr>
                      <w:rFonts w:hint="eastAsia" w:cs="Times New Roman"/>
                      <w:color w:val="FF0000"/>
                      <w:sz w:val="21"/>
                    </w:rPr>
                    <w:t>330</w:t>
                  </w:r>
                  <w:r>
                    <w:rPr>
                      <w:rFonts w:cs="Times New Roman"/>
                      <w:color w:val="FF0000"/>
                      <w:sz w:val="21"/>
                    </w:rPr>
                    <w:t>天,损耗量按20%计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5" w:type="pct"/>
                  <w:vAlign w:val="center"/>
                </w:tcPr>
                <w:p>
                  <w:pPr>
                    <w:adjustRightInd w:val="0"/>
                    <w:snapToGrid w:val="0"/>
                    <w:jc w:val="center"/>
                    <w:rPr>
                      <w:rFonts w:cs="Times New Roman"/>
                      <w:sz w:val="21"/>
                    </w:rPr>
                  </w:pPr>
                  <w:r>
                    <w:rPr>
                      <w:rFonts w:cs="Times New Roman"/>
                      <w:sz w:val="21"/>
                    </w:rPr>
                    <w:t>2</w:t>
                  </w:r>
                </w:p>
              </w:tc>
              <w:tc>
                <w:tcPr>
                  <w:tcW w:w="625" w:type="pct"/>
                  <w:vAlign w:val="center"/>
                </w:tcPr>
                <w:p>
                  <w:pPr>
                    <w:adjustRightInd w:val="0"/>
                    <w:snapToGrid w:val="0"/>
                    <w:jc w:val="center"/>
                    <w:rPr>
                      <w:rFonts w:cs="Times New Roman"/>
                      <w:sz w:val="21"/>
                    </w:rPr>
                  </w:pPr>
                  <w:r>
                    <w:rPr>
                      <w:rFonts w:cs="Times New Roman"/>
                      <w:sz w:val="21"/>
                    </w:rPr>
                    <w:t>搅拌机清洗用水</w:t>
                  </w:r>
                </w:p>
              </w:tc>
              <w:tc>
                <w:tcPr>
                  <w:tcW w:w="670" w:type="pct"/>
                  <w:vAlign w:val="center"/>
                </w:tcPr>
                <w:p>
                  <w:pPr>
                    <w:adjustRightInd w:val="0"/>
                    <w:snapToGrid w:val="0"/>
                    <w:jc w:val="center"/>
                    <w:rPr>
                      <w:rFonts w:cs="Times New Roman"/>
                      <w:sz w:val="21"/>
                    </w:rPr>
                  </w:pPr>
                  <w:r>
                    <w:rPr>
                      <w:rFonts w:cs="Times New Roman"/>
                      <w:sz w:val="21"/>
                    </w:rPr>
                    <w:t>2m</w:t>
                  </w:r>
                  <w:r>
                    <w:rPr>
                      <w:rFonts w:cs="Times New Roman"/>
                      <w:sz w:val="21"/>
                      <w:vertAlign w:val="superscript"/>
                    </w:rPr>
                    <w:t>3</w:t>
                  </w:r>
                  <w:r>
                    <w:rPr>
                      <w:rFonts w:cs="Times New Roman"/>
                      <w:sz w:val="21"/>
                    </w:rPr>
                    <w:t>/次·d</w:t>
                  </w:r>
                </w:p>
              </w:tc>
              <w:tc>
                <w:tcPr>
                  <w:tcW w:w="640" w:type="pct"/>
                  <w:vAlign w:val="center"/>
                </w:tcPr>
                <w:p>
                  <w:pPr>
                    <w:adjustRightInd w:val="0"/>
                    <w:snapToGrid w:val="0"/>
                    <w:jc w:val="center"/>
                    <w:rPr>
                      <w:rFonts w:cs="Times New Roman"/>
                      <w:sz w:val="21"/>
                    </w:rPr>
                  </w:pPr>
                  <w:r>
                    <w:rPr>
                      <w:rFonts w:cs="Times New Roman"/>
                      <w:sz w:val="21"/>
                    </w:rPr>
                    <w:t>每天1次</w:t>
                  </w:r>
                </w:p>
              </w:tc>
              <w:tc>
                <w:tcPr>
                  <w:tcW w:w="572" w:type="pct"/>
                  <w:vAlign w:val="center"/>
                </w:tcPr>
                <w:p>
                  <w:pPr>
                    <w:adjustRightInd w:val="0"/>
                    <w:snapToGrid w:val="0"/>
                    <w:jc w:val="center"/>
                    <w:rPr>
                      <w:rFonts w:cs="Times New Roman"/>
                      <w:sz w:val="21"/>
                    </w:rPr>
                  </w:pPr>
                  <w:r>
                    <w:rPr>
                      <w:rFonts w:cs="Times New Roman"/>
                      <w:sz w:val="21"/>
                    </w:rPr>
                    <w:t>4</w:t>
                  </w:r>
                </w:p>
              </w:tc>
              <w:tc>
                <w:tcPr>
                  <w:tcW w:w="565" w:type="pct"/>
                  <w:vAlign w:val="center"/>
                </w:tcPr>
                <w:p>
                  <w:pPr>
                    <w:adjustRightInd w:val="0"/>
                    <w:snapToGrid w:val="0"/>
                    <w:jc w:val="center"/>
                    <w:rPr>
                      <w:rFonts w:cs="Times New Roman"/>
                      <w:sz w:val="21"/>
                    </w:rPr>
                  </w:pPr>
                  <w:r>
                    <w:rPr>
                      <w:rFonts w:cs="Times New Roman"/>
                      <w:sz w:val="21"/>
                    </w:rPr>
                    <w:t>1320</w:t>
                  </w:r>
                </w:p>
              </w:tc>
              <w:tc>
                <w:tcPr>
                  <w:tcW w:w="514" w:type="pct"/>
                  <w:vAlign w:val="center"/>
                </w:tcPr>
                <w:p>
                  <w:pPr>
                    <w:adjustRightInd w:val="0"/>
                    <w:snapToGrid w:val="0"/>
                    <w:jc w:val="center"/>
                    <w:rPr>
                      <w:rFonts w:cs="Times New Roman"/>
                      <w:sz w:val="21"/>
                    </w:rPr>
                  </w:pPr>
                  <w:r>
                    <w:rPr>
                      <w:rFonts w:cs="Times New Roman"/>
                      <w:sz w:val="21"/>
                    </w:rPr>
                    <w:t>264</w:t>
                  </w:r>
                </w:p>
              </w:tc>
              <w:tc>
                <w:tcPr>
                  <w:tcW w:w="525" w:type="pct"/>
                  <w:vAlign w:val="center"/>
                </w:tcPr>
                <w:p>
                  <w:pPr>
                    <w:adjustRightInd w:val="0"/>
                    <w:snapToGrid w:val="0"/>
                    <w:jc w:val="center"/>
                    <w:rPr>
                      <w:rFonts w:cs="Times New Roman"/>
                      <w:sz w:val="21"/>
                    </w:rPr>
                  </w:pPr>
                  <w:r>
                    <w:rPr>
                      <w:rFonts w:cs="Times New Roman"/>
                      <w:sz w:val="21"/>
                    </w:rPr>
                    <w:t>1056</w:t>
                  </w:r>
                </w:p>
              </w:tc>
              <w:tc>
                <w:tcPr>
                  <w:tcW w:w="649" w:type="pct"/>
                  <w:vMerge w:val="restart"/>
                  <w:vAlign w:val="center"/>
                </w:tcPr>
                <w:p>
                  <w:pPr>
                    <w:adjustRightInd w:val="0"/>
                    <w:snapToGrid w:val="0"/>
                    <w:jc w:val="center"/>
                    <w:rPr>
                      <w:rFonts w:cs="Times New Roman"/>
                      <w:sz w:val="21"/>
                    </w:rPr>
                  </w:pPr>
                  <w:r>
                    <w:rPr>
                      <w:rFonts w:cs="Times New Roman"/>
                      <w:sz w:val="21"/>
                    </w:rPr>
                    <w:t>年生产</w:t>
                  </w:r>
                  <w:r>
                    <w:rPr>
                      <w:rFonts w:hint="eastAsia" w:cs="Times New Roman"/>
                      <w:sz w:val="21"/>
                    </w:rPr>
                    <w:t>330</w:t>
                  </w:r>
                  <w:r>
                    <w:rPr>
                      <w:rFonts w:cs="Times New Roman"/>
                      <w:sz w:val="21"/>
                    </w:rPr>
                    <w:t>天；损耗量按20%计，回用80%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vAlign w:val="center"/>
                </w:tcPr>
                <w:p>
                  <w:pPr>
                    <w:adjustRightInd w:val="0"/>
                    <w:snapToGrid w:val="0"/>
                    <w:jc w:val="center"/>
                    <w:rPr>
                      <w:rFonts w:cs="Times New Roman"/>
                      <w:sz w:val="21"/>
                    </w:rPr>
                  </w:pPr>
                  <w:r>
                    <w:rPr>
                      <w:rFonts w:cs="Times New Roman"/>
                      <w:sz w:val="21"/>
                    </w:rPr>
                    <w:t>3</w:t>
                  </w:r>
                </w:p>
              </w:tc>
              <w:tc>
                <w:tcPr>
                  <w:tcW w:w="625" w:type="pct"/>
                  <w:vAlign w:val="center"/>
                </w:tcPr>
                <w:p>
                  <w:pPr>
                    <w:adjustRightInd w:val="0"/>
                    <w:snapToGrid w:val="0"/>
                    <w:jc w:val="center"/>
                    <w:rPr>
                      <w:rFonts w:cs="Times New Roman"/>
                      <w:color w:val="0000FF"/>
                      <w:sz w:val="21"/>
                    </w:rPr>
                  </w:pPr>
                  <w:r>
                    <w:rPr>
                      <w:rFonts w:cs="Times New Roman"/>
                      <w:color w:val="0000FF"/>
                      <w:sz w:val="21"/>
                    </w:rPr>
                    <w:t>混凝土运输罐车罐体清洗用水</w:t>
                  </w:r>
                </w:p>
              </w:tc>
              <w:tc>
                <w:tcPr>
                  <w:tcW w:w="670" w:type="pct"/>
                  <w:vAlign w:val="center"/>
                </w:tcPr>
                <w:p>
                  <w:pPr>
                    <w:adjustRightInd w:val="0"/>
                    <w:snapToGrid w:val="0"/>
                    <w:jc w:val="center"/>
                    <w:rPr>
                      <w:rFonts w:cs="Times New Roman"/>
                      <w:color w:val="0000FF"/>
                      <w:sz w:val="21"/>
                    </w:rPr>
                  </w:pPr>
                  <w:r>
                    <w:rPr>
                      <w:rFonts w:cs="Times New Roman"/>
                      <w:color w:val="0000FF"/>
                      <w:sz w:val="21"/>
                    </w:rPr>
                    <w:t>30辆次/天</w:t>
                  </w:r>
                </w:p>
              </w:tc>
              <w:tc>
                <w:tcPr>
                  <w:tcW w:w="640" w:type="pct"/>
                  <w:vAlign w:val="center"/>
                </w:tcPr>
                <w:p>
                  <w:pPr>
                    <w:adjustRightInd w:val="0"/>
                    <w:snapToGrid w:val="0"/>
                    <w:jc w:val="center"/>
                    <w:rPr>
                      <w:rFonts w:cs="Times New Roman"/>
                      <w:color w:val="0000FF"/>
                      <w:sz w:val="21"/>
                    </w:rPr>
                  </w:pPr>
                  <w:r>
                    <w:rPr>
                      <w:rFonts w:cs="Times New Roman"/>
                      <w:color w:val="0000FF"/>
                      <w:sz w:val="21"/>
                    </w:rPr>
                    <w:t>1m</w:t>
                  </w:r>
                  <w:r>
                    <w:rPr>
                      <w:rFonts w:cs="Times New Roman"/>
                      <w:color w:val="0000FF"/>
                      <w:sz w:val="21"/>
                      <w:vertAlign w:val="superscript"/>
                    </w:rPr>
                    <w:t>3</w:t>
                  </w:r>
                  <w:r>
                    <w:rPr>
                      <w:rFonts w:cs="Times New Roman"/>
                      <w:color w:val="0000FF"/>
                      <w:sz w:val="21"/>
                    </w:rPr>
                    <w:t>/d·辆</w:t>
                  </w:r>
                </w:p>
              </w:tc>
              <w:tc>
                <w:tcPr>
                  <w:tcW w:w="572" w:type="pct"/>
                  <w:vAlign w:val="center"/>
                </w:tcPr>
                <w:p>
                  <w:pPr>
                    <w:adjustRightInd w:val="0"/>
                    <w:snapToGrid w:val="0"/>
                    <w:jc w:val="center"/>
                    <w:rPr>
                      <w:rFonts w:cs="Times New Roman"/>
                      <w:color w:val="0000FF"/>
                      <w:sz w:val="21"/>
                    </w:rPr>
                  </w:pPr>
                  <w:r>
                    <w:rPr>
                      <w:rFonts w:cs="Times New Roman"/>
                      <w:color w:val="0000FF"/>
                      <w:sz w:val="21"/>
                    </w:rPr>
                    <w:t>30</w:t>
                  </w:r>
                </w:p>
              </w:tc>
              <w:tc>
                <w:tcPr>
                  <w:tcW w:w="565" w:type="pct"/>
                  <w:vAlign w:val="center"/>
                </w:tcPr>
                <w:p>
                  <w:pPr>
                    <w:adjustRightInd w:val="0"/>
                    <w:snapToGrid w:val="0"/>
                    <w:jc w:val="center"/>
                    <w:rPr>
                      <w:rFonts w:cs="Times New Roman"/>
                      <w:color w:val="0000FF"/>
                      <w:sz w:val="21"/>
                    </w:rPr>
                  </w:pPr>
                  <w:r>
                    <w:rPr>
                      <w:rFonts w:cs="Times New Roman"/>
                      <w:color w:val="0000FF"/>
                      <w:sz w:val="21"/>
                    </w:rPr>
                    <w:t>9900</w:t>
                  </w:r>
                </w:p>
              </w:tc>
              <w:tc>
                <w:tcPr>
                  <w:tcW w:w="514" w:type="pct"/>
                  <w:vAlign w:val="center"/>
                </w:tcPr>
                <w:p>
                  <w:pPr>
                    <w:adjustRightInd w:val="0"/>
                    <w:snapToGrid w:val="0"/>
                    <w:jc w:val="center"/>
                    <w:rPr>
                      <w:rFonts w:cs="Times New Roman"/>
                      <w:color w:val="0000FF"/>
                      <w:sz w:val="21"/>
                    </w:rPr>
                  </w:pPr>
                  <w:r>
                    <w:rPr>
                      <w:rFonts w:cs="Times New Roman"/>
                      <w:color w:val="0000FF"/>
                      <w:sz w:val="21"/>
                    </w:rPr>
                    <w:t>1980</w:t>
                  </w:r>
                </w:p>
              </w:tc>
              <w:tc>
                <w:tcPr>
                  <w:tcW w:w="525" w:type="pct"/>
                  <w:vAlign w:val="center"/>
                </w:tcPr>
                <w:p>
                  <w:pPr>
                    <w:adjustRightInd w:val="0"/>
                    <w:snapToGrid w:val="0"/>
                    <w:jc w:val="center"/>
                    <w:rPr>
                      <w:rFonts w:cs="Times New Roman"/>
                      <w:color w:val="0000FF"/>
                      <w:sz w:val="21"/>
                    </w:rPr>
                  </w:pPr>
                  <w:r>
                    <w:rPr>
                      <w:rFonts w:cs="Times New Roman"/>
                      <w:color w:val="0000FF"/>
                      <w:sz w:val="21"/>
                    </w:rPr>
                    <w:t>7920</w:t>
                  </w:r>
                </w:p>
              </w:tc>
              <w:tc>
                <w:tcPr>
                  <w:tcW w:w="649" w:type="pct"/>
                  <w:vMerge w:val="continue"/>
                  <w:vAlign w:val="center"/>
                </w:tcPr>
                <w:p>
                  <w:pPr>
                    <w:adjustRightInd w:val="0"/>
                    <w:snapToGrid w:val="0"/>
                    <w:jc w:val="center"/>
                    <w:rPr>
                      <w:rFonts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5" w:type="pct"/>
                  <w:vAlign w:val="center"/>
                </w:tcPr>
                <w:p>
                  <w:pPr>
                    <w:adjustRightInd w:val="0"/>
                    <w:snapToGrid w:val="0"/>
                    <w:jc w:val="center"/>
                    <w:rPr>
                      <w:rFonts w:cs="Times New Roman"/>
                      <w:sz w:val="21"/>
                    </w:rPr>
                  </w:pPr>
                  <w:r>
                    <w:rPr>
                      <w:rFonts w:cs="Times New Roman"/>
                      <w:sz w:val="21"/>
                    </w:rPr>
                    <w:t>4</w:t>
                  </w:r>
                </w:p>
              </w:tc>
              <w:tc>
                <w:tcPr>
                  <w:tcW w:w="625" w:type="pct"/>
                  <w:vAlign w:val="center"/>
                </w:tcPr>
                <w:p>
                  <w:pPr>
                    <w:adjustRightInd w:val="0"/>
                    <w:snapToGrid w:val="0"/>
                    <w:jc w:val="center"/>
                    <w:rPr>
                      <w:rFonts w:cs="Times New Roman"/>
                      <w:sz w:val="21"/>
                    </w:rPr>
                  </w:pPr>
                  <w:r>
                    <w:rPr>
                      <w:rFonts w:cs="Times New Roman"/>
                      <w:sz w:val="21"/>
                    </w:rPr>
                    <w:t>混凝土运输车辆外部清洗水</w:t>
                  </w:r>
                </w:p>
              </w:tc>
              <w:tc>
                <w:tcPr>
                  <w:tcW w:w="670" w:type="pct"/>
                  <w:vAlign w:val="center"/>
                </w:tcPr>
                <w:p>
                  <w:pPr>
                    <w:adjustRightInd w:val="0"/>
                    <w:snapToGrid w:val="0"/>
                    <w:jc w:val="center"/>
                    <w:rPr>
                      <w:rFonts w:cs="Times New Roman"/>
                      <w:sz w:val="21"/>
                    </w:rPr>
                  </w:pPr>
                  <w:r>
                    <w:rPr>
                      <w:rFonts w:cs="Times New Roman"/>
                      <w:sz w:val="21"/>
                    </w:rPr>
                    <w:t>/</w:t>
                  </w:r>
                </w:p>
              </w:tc>
              <w:tc>
                <w:tcPr>
                  <w:tcW w:w="640" w:type="pct"/>
                  <w:vAlign w:val="center"/>
                </w:tcPr>
                <w:p>
                  <w:pPr>
                    <w:adjustRightInd w:val="0"/>
                    <w:snapToGrid w:val="0"/>
                    <w:jc w:val="center"/>
                    <w:rPr>
                      <w:rFonts w:cs="Times New Roman"/>
                      <w:sz w:val="21"/>
                    </w:rPr>
                  </w:pPr>
                  <w:r>
                    <w:rPr>
                      <w:rFonts w:cs="Times New Roman"/>
                      <w:sz w:val="21"/>
                    </w:rPr>
                    <w:t>/</w:t>
                  </w:r>
                </w:p>
              </w:tc>
              <w:tc>
                <w:tcPr>
                  <w:tcW w:w="572" w:type="pct"/>
                  <w:vAlign w:val="center"/>
                </w:tcPr>
                <w:p>
                  <w:pPr>
                    <w:adjustRightInd w:val="0"/>
                    <w:snapToGrid w:val="0"/>
                    <w:jc w:val="center"/>
                    <w:rPr>
                      <w:rFonts w:cs="Times New Roman"/>
                      <w:sz w:val="21"/>
                    </w:rPr>
                  </w:pPr>
                  <w:r>
                    <w:rPr>
                      <w:rFonts w:cs="Times New Roman"/>
                      <w:sz w:val="21"/>
                    </w:rPr>
                    <w:t>10</w:t>
                  </w:r>
                </w:p>
              </w:tc>
              <w:tc>
                <w:tcPr>
                  <w:tcW w:w="565" w:type="pct"/>
                  <w:vAlign w:val="center"/>
                </w:tcPr>
                <w:p>
                  <w:pPr>
                    <w:adjustRightInd w:val="0"/>
                    <w:snapToGrid w:val="0"/>
                    <w:jc w:val="center"/>
                    <w:rPr>
                      <w:rFonts w:cs="Times New Roman"/>
                      <w:sz w:val="21"/>
                    </w:rPr>
                  </w:pPr>
                  <w:r>
                    <w:rPr>
                      <w:rFonts w:hint="eastAsia" w:cs="Times New Roman"/>
                      <w:sz w:val="21"/>
                    </w:rPr>
                    <w:t>3300</w:t>
                  </w:r>
                </w:p>
              </w:tc>
              <w:tc>
                <w:tcPr>
                  <w:tcW w:w="514" w:type="pct"/>
                  <w:vAlign w:val="center"/>
                </w:tcPr>
                <w:p>
                  <w:pPr>
                    <w:adjustRightInd w:val="0"/>
                    <w:snapToGrid w:val="0"/>
                    <w:jc w:val="center"/>
                    <w:rPr>
                      <w:rFonts w:cs="Times New Roman"/>
                      <w:sz w:val="21"/>
                    </w:rPr>
                  </w:pPr>
                  <w:r>
                    <w:rPr>
                      <w:rFonts w:hint="eastAsia" w:cs="Times New Roman"/>
                      <w:sz w:val="21"/>
                    </w:rPr>
                    <w:t>660</w:t>
                  </w:r>
                </w:p>
              </w:tc>
              <w:tc>
                <w:tcPr>
                  <w:tcW w:w="525" w:type="pct"/>
                  <w:vAlign w:val="center"/>
                </w:tcPr>
                <w:p>
                  <w:pPr>
                    <w:adjustRightInd w:val="0"/>
                    <w:snapToGrid w:val="0"/>
                    <w:jc w:val="center"/>
                    <w:rPr>
                      <w:rFonts w:cs="Times New Roman"/>
                      <w:sz w:val="21"/>
                    </w:rPr>
                  </w:pPr>
                  <w:r>
                    <w:rPr>
                      <w:rFonts w:hint="eastAsia" w:cs="Times New Roman"/>
                      <w:sz w:val="21"/>
                    </w:rPr>
                    <w:t>2640</w:t>
                  </w:r>
                </w:p>
              </w:tc>
              <w:tc>
                <w:tcPr>
                  <w:tcW w:w="649" w:type="pct"/>
                  <w:vMerge w:val="continue"/>
                  <w:vAlign w:val="center"/>
                </w:tcPr>
                <w:p>
                  <w:pPr>
                    <w:adjustRightInd w:val="0"/>
                    <w:snapToGrid w:val="0"/>
                    <w:jc w:val="center"/>
                    <w:rPr>
                      <w:rFonts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5" w:type="pct"/>
                  <w:vAlign w:val="center"/>
                </w:tcPr>
                <w:p>
                  <w:pPr>
                    <w:adjustRightInd w:val="0"/>
                    <w:snapToGrid w:val="0"/>
                    <w:jc w:val="center"/>
                    <w:rPr>
                      <w:rFonts w:cs="Times New Roman"/>
                      <w:sz w:val="21"/>
                    </w:rPr>
                  </w:pPr>
                  <w:r>
                    <w:rPr>
                      <w:rFonts w:cs="Times New Roman"/>
                      <w:sz w:val="21"/>
                    </w:rPr>
                    <w:t>5</w:t>
                  </w:r>
                </w:p>
              </w:tc>
              <w:tc>
                <w:tcPr>
                  <w:tcW w:w="625" w:type="pct"/>
                  <w:vAlign w:val="center"/>
                </w:tcPr>
                <w:p>
                  <w:pPr>
                    <w:adjustRightInd w:val="0"/>
                    <w:snapToGrid w:val="0"/>
                    <w:jc w:val="center"/>
                    <w:rPr>
                      <w:rFonts w:cs="Times New Roman"/>
                      <w:sz w:val="21"/>
                    </w:rPr>
                  </w:pPr>
                  <w:r>
                    <w:rPr>
                      <w:rFonts w:cs="Times New Roman"/>
                      <w:sz w:val="21"/>
                    </w:rPr>
                    <w:t>生产区及道路冲洗水</w:t>
                  </w:r>
                </w:p>
              </w:tc>
              <w:tc>
                <w:tcPr>
                  <w:tcW w:w="670" w:type="pct"/>
                  <w:vAlign w:val="center"/>
                </w:tcPr>
                <w:p>
                  <w:pPr>
                    <w:adjustRightInd w:val="0"/>
                    <w:snapToGrid w:val="0"/>
                    <w:jc w:val="center"/>
                    <w:rPr>
                      <w:rFonts w:cs="Times New Roman"/>
                      <w:sz w:val="21"/>
                    </w:rPr>
                  </w:pPr>
                  <w:r>
                    <w:rPr>
                      <w:rFonts w:cs="Times New Roman"/>
                      <w:sz w:val="21"/>
                    </w:rPr>
                    <w:t>/</w:t>
                  </w:r>
                </w:p>
              </w:tc>
              <w:tc>
                <w:tcPr>
                  <w:tcW w:w="640" w:type="pct"/>
                  <w:vAlign w:val="center"/>
                </w:tcPr>
                <w:p>
                  <w:pPr>
                    <w:adjustRightInd w:val="0"/>
                    <w:snapToGrid w:val="0"/>
                    <w:jc w:val="center"/>
                    <w:rPr>
                      <w:rFonts w:cs="Times New Roman"/>
                      <w:sz w:val="21"/>
                    </w:rPr>
                  </w:pPr>
                  <w:r>
                    <w:rPr>
                      <w:rFonts w:cs="Times New Roman"/>
                      <w:sz w:val="21"/>
                    </w:rPr>
                    <w:t>/</w:t>
                  </w:r>
                </w:p>
              </w:tc>
              <w:tc>
                <w:tcPr>
                  <w:tcW w:w="572" w:type="pct"/>
                  <w:vAlign w:val="center"/>
                </w:tcPr>
                <w:p>
                  <w:pPr>
                    <w:adjustRightInd w:val="0"/>
                    <w:snapToGrid w:val="0"/>
                    <w:jc w:val="center"/>
                    <w:rPr>
                      <w:rFonts w:cs="Times New Roman"/>
                      <w:sz w:val="21"/>
                    </w:rPr>
                  </w:pPr>
                  <w:r>
                    <w:rPr>
                      <w:rFonts w:hint="eastAsia" w:cs="Times New Roman"/>
                      <w:sz w:val="21"/>
                    </w:rPr>
                    <w:t>100</w:t>
                  </w:r>
                </w:p>
              </w:tc>
              <w:tc>
                <w:tcPr>
                  <w:tcW w:w="565" w:type="pct"/>
                  <w:vAlign w:val="center"/>
                </w:tcPr>
                <w:p>
                  <w:pPr>
                    <w:adjustRightInd w:val="0"/>
                    <w:snapToGrid w:val="0"/>
                    <w:jc w:val="center"/>
                    <w:rPr>
                      <w:rFonts w:cs="Times New Roman"/>
                      <w:sz w:val="21"/>
                    </w:rPr>
                  </w:pPr>
                  <w:r>
                    <w:rPr>
                      <w:rFonts w:hint="eastAsia" w:cs="Times New Roman"/>
                      <w:sz w:val="21"/>
                    </w:rPr>
                    <w:t>33000</w:t>
                  </w:r>
                </w:p>
              </w:tc>
              <w:tc>
                <w:tcPr>
                  <w:tcW w:w="514" w:type="pct"/>
                  <w:vAlign w:val="center"/>
                </w:tcPr>
                <w:p>
                  <w:pPr>
                    <w:adjustRightInd w:val="0"/>
                    <w:snapToGrid w:val="0"/>
                    <w:jc w:val="center"/>
                    <w:rPr>
                      <w:rFonts w:cs="Times New Roman"/>
                      <w:sz w:val="21"/>
                    </w:rPr>
                  </w:pPr>
                  <w:r>
                    <w:rPr>
                      <w:rFonts w:hint="eastAsia" w:cs="Times New Roman"/>
                      <w:sz w:val="21"/>
                    </w:rPr>
                    <w:t>6600</w:t>
                  </w:r>
                </w:p>
              </w:tc>
              <w:tc>
                <w:tcPr>
                  <w:tcW w:w="525" w:type="pct"/>
                  <w:vAlign w:val="center"/>
                </w:tcPr>
                <w:p>
                  <w:pPr>
                    <w:adjustRightInd w:val="0"/>
                    <w:snapToGrid w:val="0"/>
                    <w:jc w:val="center"/>
                    <w:rPr>
                      <w:rFonts w:cs="Times New Roman"/>
                      <w:sz w:val="21"/>
                    </w:rPr>
                  </w:pPr>
                  <w:r>
                    <w:rPr>
                      <w:rFonts w:hint="eastAsia" w:cs="Times New Roman"/>
                      <w:sz w:val="21"/>
                    </w:rPr>
                    <w:t>26400</w:t>
                  </w:r>
                </w:p>
              </w:tc>
              <w:tc>
                <w:tcPr>
                  <w:tcW w:w="649" w:type="pct"/>
                  <w:vMerge w:val="continue"/>
                  <w:vAlign w:val="center"/>
                </w:tcPr>
                <w:p>
                  <w:pPr>
                    <w:adjustRightInd w:val="0"/>
                    <w:snapToGrid w:val="0"/>
                    <w:jc w:val="center"/>
                    <w:rPr>
                      <w:rFonts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5" w:type="pct"/>
                  <w:vAlign w:val="center"/>
                </w:tcPr>
                <w:p>
                  <w:pPr>
                    <w:adjustRightInd w:val="0"/>
                    <w:snapToGrid w:val="0"/>
                    <w:jc w:val="center"/>
                    <w:rPr>
                      <w:rFonts w:cs="Times New Roman"/>
                      <w:sz w:val="21"/>
                    </w:rPr>
                  </w:pPr>
                  <w:r>
                    <w:rPr>
                      <w:rFonts w:cs="Times New Roman"/>
                      <w:sz w:val="21"/>
                    </w:rPr>
                    <w:t>6</w:t>
                  </w:r>
                </w:p>
              </w:tc>
              <w:tc>
                <w:tcPr>
                  <w:tcW w:w="625" w:type="pct"/>
                  <w:vAlign w:val="center"/>
                </w:tcPr>
                <w:p>
                  <w:pPr>
                    <w:adjustRightInd w:val="0"/>
                    <w:snapToGrid w:val="0"/>
                    <w:jc w:val="center"/>
                    <w:rPr>
                      <w:rFonts w:cs="Times New Roman"/>
                      <w:sz w:val="21"/>
                    </w:rPr>
                  </w:pPr>
                  <w:r>
                    <w:rPr>
                      <w:rFonts w:cs="Times New Roman"/>
                      <w:sz w:val="21"/>
                    </w:rPr>
                    <w:t>生活废水</w:t>
                  </w:r>
                </w:p>
              </w:tc>
              <w:tc>
                <w:tcPr>
                  <w:tcW w:w="670" w:type="pct"/>
                  <w:vAlign w:val="center"/>
                </w:tcPr>
                <w:p>
                  <w:pPr>
                    <w:adjustRightInd w:val="0"/>
                    <w:snapToGrid w:val="0"/>
                    <w:jc w:val="center"/>
                    <w:rPr>
                      <w:rFonts w:cs="Times New Roman"/>
                      <w:sz w:val="21"/>
                    </w:rPr>
                  </w:pPr>
                  <w:r>
                    <w:rPr>
                      <w:rFonts w:cs="Times New Roman"/>
                      <w:sz w:val="21"/>
                    </w:rPr>
                    <w:t>145L/人·d</w:t>
                  </w:r>
                </w:p>
              </w:tc>
              <w:tc>
                <w:tcPr>
                  <w:tcW w:w="640" w:type="pct"/>
                  <w:vAlign w:val="center"/>
                </w:tcPr>
                <w:p>
                  <w:pPr>
                    <w:adjustRightInd w:val="0"/>
                    <w:snapToGrid w:val="0"/>
                    <w:jc w:val="center"/>
                    <w:rPr>
                      <w:rFonts w:cs="Times New Roman"/>
                      <w:kern w:val="0"/>
                      <w:sz w:val="21"/>
                    </w:rPr>
                  </w:pPr>
                  <w:r>
                    <w:rPr>
                      <w:rFonts w:hint="eastAsia" w:cs="Times New Roman"/>
                      <w:kern w:val="0"/>
                      <w:sz w:val="21"/>
                    </w:rPr>
                    <w:t>28</w:t>
                  </w:r>
                  <w:r>
                    <w:rPr>
                      <w:rFonts w:cs="Times New Roman"/>
                      <w:kern w:val="0"/>
                      <w:sz w:val="21"/>
                    </w:rPr>
                    <w:t>人</w:t>
                  </w:r>
                </w:p>
              </w:tc>
              <w:tc>
                <w:tcPr>
                  <w:tcW w:w="572" w:type="pct"/>
                  <w:vAlign w:val="center"/>
                </w:tcPr>
                <w:p>
                  <w:pPr>
                    <w:adjustRightInd w:val="0"/>
                    <w:snapToGrid w:val="0"/>
                    <w:jc w:val="center"/>
                    <w:rPr>
                      <w:rFonts w:cs="Times New Roman"/>
                      <w:sz w:val="21"/>
                    </w:rPr>
                  </w:pPr>
                  <w:r>
                    <w:rPr>
                      <w:rFonts w:hint="eastAsia" w:cs="Times New Roman"/>
                      <w:sz w:val="21"/>
                    </w:rPr>
                    <w:t>4.06</w:t>
                  </w:r>
                </w:p>
              </w:tc>
              <w:tc>
                <w:tcPr>
                  <w:tcW w:w="565" w:type="pct"/>
                  <w:vAlign w:val="center"/>
                </w:tcPr>
                <w:p>
                  <w:pPr>
                    <w:adjustRightInd w:val="0"/>
                    <w:snapToGrid w:val="0"/>
                    <w:jc w:val="center"/>
                    <w:rPr>
                      <w:rFonts w:cs="Times New Roman"/>
                      <w:sz w:val="21"/>
                    </w:rPr>
                  </w:pPr>
                  <w:r>
                    <w:rPr>
                      <w:rFonts w:hint="eastAsia" w:cs="Times New Roman"/>
                      <w:sz w:val="21"/>
                    </w:rPr>
                    <w:t>1339.8</w:t>
                  </w:r>
                </w:p>
              </w:tc>
              <w:tc>
                <w:tcPr>
                  <w:tcW w:w="514" w:type="pct"/>
                  <w:vAlign w:val="center"/>
                </w:tcPr>
                <w:p>
                  <w:pPr>
                    <w:adjustRightInd w:val="0"/>
                    <w:snapToGrid w:val="0"/>
                    <w:jc w:val="center"/>
                    <w:rPr>
                      <w:rFonts w:cs="Times New Roman"/>
                      <w:sz w:val="21"/>
                    </w:rPr>
                  </w:pPr>
                  <w:r>
                    <w:rPr>
                      <w:rFonts w:hint="eastAsia" w:cs="Times New Roman"/>
                      <w:sz w:val="21"/>
                    </w:rPr>
                    <w:t>267.96</w:t>
                  </w:r>
                </w:p>
              </w:tc>
              <w:tc>
                <w:tcPr>
                  <w:tcW w:w="525" w:type="pct"/>
                  <w:vAlign w:val="center"/>
                </w:tcPr>
                <w:p>
                  <w:pPr>
                    <w:adjustRightInd w:val="0"/>
                    <w:snapToGrid w:val="0"/>
                    <w:jc w:val="center"/>
                    <w:rPr>
                      <w:rFonts w:cs="Times New Roman"/>
                      <w:sz w:val="21"/>
                    </w:rPr>
                  </w:pPr>
                  <w:r>
                    <w:rPr>
                      <w:rFonts w:hint="eastAsia" w:cs="Times New Roman"/>
                      <w:sz w:val="21"/>
                    </w:rPr>
                    <w:t>1071.84</w:t>
                  </w:r>
                </w:p>
              </w:tc>
              <w:tc>
                <w:tcPr>
                  <w:tcW w:w="649" w:type="pct"/>
                  <w:vAlign w:val="center"/>
                </w:tcPr>
                <w:p>
                  <w:pPr>
                    <w:adjustRightInd w:val="0"/>
                    <w:snapToGrid w:val="0"/>
                    <w:jc w:val="center"/>
                    <w:rPr>
                      <w:rFonts w:cs="Times New Roman"/>
                      <w:sz w:val="21"/>
                    </w:rPr>
                  </w:pPr>
                  <w:r>
                    <w:rPr>
                      <w:rFonts w:cs="Times New Roman"/>
                      <w:sz w:val="21"/>
                    </w:rPr>
                    <w:t>年生产</w:t>
                  </w:r>
                  <w:r>
                    <w:rPr>
                      <w:rFonts w:hint="eastAsia" w:cs="Times New Roman"/>
                      <w:sz w:val="21"/>
                    </w:rPr>
                    <w:t>330</w:t>
                  </w:r>
                  <w:r>
                    <w:rPr>
                      <w:rFonts w:cs="Times New Roman"/>
                      <w:sz w:val="21"/>
                    </w:rPr>
                    <w:t>天；损耗量按20%计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5" w:type="pct"/>
                  <w:vAlign w:val="center"/>
                </w:tcPr>
                <w:p>
                  <w:pPr>
                    <w:adjustRightInd w:val="0"/>
                    <w:snapToGrid w:val="0"/>
                    <w:jc w:val="center"/>
                    <w:rPr>
                      <w:rFonts w:cs="Times New Roman"/>
                      <w:sz w:val="21"/>
                    </w:rPr>
                  </w:pPr>
                  <w:r>
                    <w:rPr>
                      <w:rFonts w:cs="Times New Roman"/>
                      <w:sz w:val="21"/>
                    </w:rPr>
                    <w:t>7</w:t>
                  </w:r>
                </w:p>
              </w:tc>
              <w:tc>
                <w:tcPr>
                  <w:tcW w:w="625" w:type="pct"/>
                  <w:vAlign w:val="center"/>
                </w:tcPr>
                <w:p>
                  <w:pPr>
                    <w:adjustRightInd w:val="0"/>
                    <w:snapToGrid w:val="0"/>
                    <w:jc w:val="center"/>
                    <w:rPr>
                      <w:rFonts w:cs="Times New Roman"/>
                      <w:sz w:val="21"/>
                    </w:rPr>
                  </w:pPr>
                  <w:r>
                    <w:rPr>
                      <w:rFonts w:hint="eastAsia" w:cs="Times New Roman"/>
                      <w:sz w:val="21"/>
                    </w:rPr>
                    <w:t>初期雨水</w:t>
                  </w:r>
                </w:p>
              </w:tc>
              <w:tc>
                <w:tcPr>
                  <w:tcW w:w="670" w:type="pct"/>
                  <w:vAlign w:val="center"/>
                </w:tcPr>
                <w:p>
                  <w:pPr>
                    <w:adjustRightInd w:val="0"/>
                    <w:snapToGrid w:val="0"/>
                    <w:jc w:val="center"/>
                    <w:rPr>
                      <w:rFonts w:cs="Times New Roman"/>
                      <w:sz w:val="21"/>
                    </w:rPr>
                  </w:pPr>
                  <w:r>
                    <w:rPr>
                      <w:rFonts w:cs="Times New Roman"/>
                      <w:sz w:val="21"/>
                    </w:rPr>
                    <w:t>376.1m</w:t>
                  </w:r>
                  <w:r>
                    <w:rPr>
                      <w:rFonts w:cs="Times New Roman"/>
                      <w:sz w:val="21"/>
                      <w:vertAlign w:val="superscript"/>
                    </w:rPr>
                    <w:t>3</w:t>
                  </w:r>
                  <w:r>
                    <w:rPr>
                      <w:rFonts w:cs="Times New Roman"/>
                      <w:sz w:val="21"/>
                    </w:rPr>
                    <w:t>/次</w:t>
                  </w:r>
                </w:p>
              </w:tc>
              <w:tc>
                <w:tcPr>
                  <w:tcW w:w="640" w:type="pct"/>
                  <w:vAlign w:val="center"/>
                </w:tcPr>
                <w:p>
                  <w:pPr>
                    <w:adjustRightInd w:val="0"/>
                    <w:snapToGrid w:val="0"/>
                    <w:jc w:val="center"/>
                    <w:rPr>
                      <w:rFonts w:cs="Times New Roman"/>
                      <w:kern w:val="0"/>
                      <w:sz w:val="21"/>
                    </w:rPr>
                  </w:pPr>
                  <w:r>
                    <w:rPr>
                      <w:rFonts w:cs="Times New Roman"/>
                      <w:sz w:val="21"/>
                    </w:rPr>
                    <w:t>40次/a</w:t>
                  </w:r>
                </w:p>
              </w:tc>
              <w:tc>
                <w:tcPr>
                  <w:tcW w:w="572" w:type="pct"/>
                  <w:vAlign w:val="center"/>
                </w:tcPr>
                <w:p>
                  <w:pPr>
                    <w:adjustRightInd w:val="0"/>
                    <w:snapToGrid w:val="0"/>
                    <w:jc w:val="center"/>
                    <w:rPr>
                      <w:rFonts w:cs="Times New Roman"/>
                      <w:sz w:val="21"/>
                    </w:rPr>
                  </w:pPr>
                  <w:r>
                    <w:rPr>
                      <w:rFonts w:hint="eastAsia" w:cs="Times New Roman"/>
                      <w:sz w:val="21"/>
                    </w:rPr>
                    <w:t>376.1</w:t>
                  </w:r>
                </w:p>
              </w:tc>
              <w:tc>
                <w:tcPr>
                  <w:tcW w:w="565" w:type="pct"/>
                  <w:vAlign w:val="center"/>
                </w:tcPr>
                <w:p>
                  <w:pPr>
                    <w:adjustRightInd w:val="0"/>
                    <w:snapToGrid w:val="0"/>
                    <w:jc w:val="center"/>
                    <w:rPr>
                      <w:rFonts w:cs="Times New Roman"/>
                      <w:sz w:val="21"/>
                    </w:rPr>
                  </w:pPr>
                  <w:r>
                    <w:rPr>
                      <w:rFonts w:cs="Times New Roman"/>
                      <w:sz w:val="21"/>
                    </w:rPr>
                    <w:t>15044</w:t>
                  </w:r>
                </w:p>
              </w:tc>
              <w:tc>
                <w:tcPr>
                  <w:tcW w:w="514" w:type="pct"/>
                  <w:vAlign w:val="center"/>
                </w:tcPr>
                <w:p>
                  <w:pPr>
                    <w:adjustRightInd w:val="0"/>
                    <w:snapToGrid w:val="0"/>
                    <w:jc w:val="center"/>
                    <w:rPr>
                      <w:rFonts w:cs="Times New Roman"/>
                      <w:sz w:val="21"/>
                    </w:rPr>
                  </w:pPr>
                  <w:r>
                    <w:rPr>
                      <w:rFonts w:hint="eastAsia" w:cs="Times New Roman"/>
                      <w:sz w:val="21"/>
                    </w:rPr>
                    <w:t>/</w:t>
                  </w:r>
                </w:p>
              </w:tc>
              <w:tc>
                <w:tcPr>
                  <w:tcW w:w="525" w:type="pct"/>
                  <w:vAlign w:val="center"/>
                </w:tcPr>
                <w:p>
                  <w:pPr>
                    <w:adjustRightInd w:val="0"/>
                    <w:snapToGrid w:val="0"/>
                    <w:jc w:val="center"/>
                    <w:rPr>
                      <w:rFonts w:cs="Times New Roman"/>
                      <w:sz w:val="21"/>
                    </w:rPr>
                  </w:pPr>
                  <w:r>
                    <w:rPr>
                      <w:rFonts w:cs="Times New Roman"/>
                      <w:sz w:val="21"/>
                    </w:rPr>
                    <w:t>15044</w:t>
                  </w:r>
                </w:p>
              </w:tc>
              <w:tc>
                <w:tcPr>
                  <w:tcW w:w="649" w:type="pct"/>
                  <w:vAlign w:val="center"/>
                </w:tcPr>
                <w:p>
                  <w:pPr>
                    <w:adjustRightInd w:val="0"/>
                    <w:snapToGrid w:val="0"/>
                    <w:jc w:val="center"/>
                    <w:rPr>
                      <w:rFonts w:cs="Times New Roman"/>
                      <w:sz w:val="21"/>
                    </w:rPr>
                  </w:pPr>
                  <w:r>
                    <w:rPr>
                      <w:rFonts w:hint="eastAsia" w:cs="Times New Roman"/>
                      <w:sz w:val="21"/>
                    </w:rPr>
                    <w:t>按照一年暴雨约40次计算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35" w:type="pct"/>
                  <w:vAlign w:val="center"/>
                </w:tcPr>
                <w:p>
                  <w:pPr>
                    <w:adjustRightInd w:val="0"/>
                    <w:snapToGrid w:val="0"/>
                    <w:jc w:val="center"/>
                    <w:rPr>
                      <w:rFonts w:cs="Times New Roman"/>
                      <w:sz w:val="21"/>
                    </w:rPr>
                  </w:pPr>
                  <w:r>
                    <w:rPr>
                      <w:rFonts w:hint="eastAsia" w:cs="Times New Roman"/>
                      <w:sz w:val="21"/>
                    </w:rPr>
                    <w:t>8</w:t>
                  </w:r>
                </w:p>
              </w:tc>
              <w:tc>
                <w:tcPr>
                  <w:tcW w:w="625" w:type="pct"/>
                  <w:vAlign w:val="center"/>
                </w:tcPr>
                <w:p>
                  <w:pPr>
                    <w:adjustRightInd w:val="0"/>
                    <w:snapToGrid w:val="0"/>
                    <w:jc w:val="center"/>
                    <w:rPr>
                      <w:rFonts w:cs="Times New Roman"/>
                      <w:sz w:val="21"/>
                    </w:rPr>
                  </w:pPr>
                  <w:r>
                    <w:rPr>
                      <w:rFonts w:cs="Times New Roman"/>
                      <w:sz w:val="21"/>
                    </w:rPr>
                    <w:t>小计</w:t>
                  </w:r>
                </w:p>
              </w:tc>
              <w:tc>
                <w:tcPr>
                  <w:tcW w:w="670" w:type="pct"/>
                  <w:vAlign w:val="center"/>
                </w:tcPr>
                <w:p>
                  <w:pPr>
                    <w:adjustRightInd w:val="0"/>
                    <w:snapToGrid w:val="0"/>
                    <w:jc w:val="center"/>
                    <w:rPr>
                      <w:rFonts w:cs="Times New Roman"/>
                      <w:sz w:val="21"/>
                    </w:rPr>
                  </w:pPr>
                  <w:r>
                    <w:rPr>
                      <w:rFonts w:cs="Times New Roman"/>
                      <w:sz w:val="21"/>
                    </w:rPr>
                    <w:t>/</w:t>
                  </w:r>
                </w:p>
              </w:tc>
              <w:tc>
                <w:tcPr>
                  <w:tcW w:w="640" w:type="pct"/>
                  <w:vAlign w:val="center"/>
                </w:tcPr>
                <w:p>
                  <w:pPr>
                    <w:adjustRightInd w:val="0"/>
                    <w:snapToGrid w:val="0"/>
                    <w:jc w:val="center"/>
                    <w:rPr>
                      <w:rFonts w:cs="Times New Roman"/>
                      <w:sz w:val="21"/>
                    </w:rPr>
                  </w:pPr>
                  <w:r>
                    <w:rPr>
                      <w:rFonts w:cs="Times New Roman"/>
                      <w:sz w:val="21"/>
                    </w:rPr>
                    <w:t>/</w:t>
                  </w:r>
                </w:p>
              </w:tc>
              <w:tc>
                <w:tcPr>
                  <w:tcW w:w="572" w:type="pct"/>
                  <w:vAlign w:val="center"/>
                </w:tcPr>
                <w:p>
                  <w:pPr>
                    <w:adjustRightInd w:val="0"/>
                    <w:snapToGrid w:val="0"/>
                    <w:jc w:val="center"/>
                    <w:rPr>
                      <w:rFonts w:hint="default" w:cs="Times New Roman" w:eastAsiaTheme="minorEastAsia"/>
                      <w:color w:val="FF0000"/>
                      <w:sz w:val="21"/>
                      <w:lang w:val="en-US" w:eastAsia="zh-CN"/>
                    </w:rPr>
                  </w:pPr>
                  <w:r>
                    <w:rPr>
                      <w:rFonts w:hint="eastAsia" w:cs="Times New Roman"/>
                      <w:color w:val="FF0000"/>
                      <w:sz w:val="21"/>
                      <w:lang w:val="en-US" w:eastAsia="zh-CN"/>
                    </w:rPr>
                    <w:t>851.43</w:t>
                  </w:r>
                </w:p>
              </w:tc>
              <w:tc>
                <w:tcPr>
                  <w:tcW w:w="565" w:type="pct"/>
                  <w:vAlign w:val="center"/>
                </w:tcPr>
                <w:p>
                  <w:pPr>
                    <w:adjustRightInd w:val="0"/>
                    <w:snapToGrid w:val="0"/>
                    <w:jc w:val="center"/>
                    <w:rPr>
                      <w:rFonts w:hint="default" w:cs="Times New Roman" w:eastAsiaTheme="minorEastAsia"/>
                      <w:color w:val="FF0000"/>
                      <w:sz w:val="21"/>
                      <w:lang w:val="en-US" w:eastAsia="zh-CN"/>
                    </w:rPr>
                  </w:pPr>
                  <w:r>
                    <w:rPr>
                      <w:rFonts w:hint="eastAsia" w:cs="Times New Roman"/>
                      <w:color w:val="000000" w:themeColor="text1"/>
                      <w:sz w:val="21"/>
                      <w:lang w:val="en-US" w:eastAsia="zh-CN"/>
                    </w:rPr>
                    <w:t>171903.8</w:t>
                  </w:r>
                </w:p>
              </w:tc>
              <w:tc>
                <w:tcPr>
                  <w:tcW w:w="514" w:type="pct"/>
                  <w:vAlign w:val="center"/>
                </w:tcPr>
                <w:p>
                  <w:pPr>
                    <w:adjustRightInd w:val="0"/>
                    <w:snapToGrid w:val="0"/>
                    <w:jc w:val="center"/>
                    <w:rPr>
                      <w:rFonts w:hint="default" w:cs="Times New Roman" w:eastAsiaTheme="minorEastAsia"/>
                      <w:color w:val="000000" w:themeColor="text1"/>
                      <w:sz w:val="21"/>
                      <w:lang w:val="en-US" w:eastAsia="zh-CN"/>
                    </w:rPr>
                  </w:pPr>
                  <w:r>
                    <w:rPr>
                      <w:rFonts w:hint="eastAsia" w:cs="Times New Roman"/>
                      <w:color w:val="000000" w:themeColor="text1"/>
                      <w:sz w:val="21"/>
                      <w:lang w:val="en-US" w:eastAsia="zh-CN"/>
                    </w:rPr>
                    <w:t>31371.96</w:t>
                  </w:r>
                </w:p>
              </w:tc>
              <w:tc>
                <w:tcPr>
                  <w:tcW w:w="525" w:type="pct"/>
                  <w:vAlign w:val="center"/>
                </w:tcPr>
                <w:p>
                  <w:pPr>
                    <w:adjustRightInd w:val="0"/>
                    <w:snapToGrid w:val="0"/>
                    <w:jc w:val="center"/>
                    <w:rPr>
                      <w:rFonts w:cs="Times New Roman"/>
                      <w:color w:val="000000" w:themeColor="text1"/>
                      <w:sz w:val="21"/>
                    </w:rPr>
                  </w:pPr>
                  <w:r>
                    <w:rPr>
                      <w:rFonts w:hint="eastAsia" w:cs="Times New Roman"/>
                      <w:color w:val="000000" w:themeColor="text1"/>
                      <w:sz w:val="21"/>
                    </w:rPr>
                    <w:t>54131.84</w:t>
                  </w:r>
                </w:p>
              </w:tc>
              <w:tc>
                <w:tcPr>
                  <w:tcW w:w="649" w:type="pct"/>
                  <w:vAlign w:val="center"/>
                </w:tcPr>
                <w:p>
                  <w:pPr>
                    <w:adjustRightInd w:val="0"/>
                    <w:snapToGrid w:val="0"/>
                    <w:jc w:val="center"/>
                    <w:rPr>
                      <w:rFonts w:cs="Times New Roman"/>
                      <w:sz w:val="21"/>
                    </w:rPr>
                  </w:pPr>
                  <w:r>
                    <w:rPr>
                      <w:rFonts w:cs="Times New Roman"/>
                      <w:sz w:val="21"/>
                    </w:rPr>
                    <w:t>/</w:t>
                  </w:r>
                </w:p>
              </w:tc>
            </w:tr>
          </w:tbl>
          <w:p>
            <w:pPr>
              <w:spacing w:line="360" w:lineRule="auto"/>
              <w:ind w:firstLine="480" w:firstLineChars="200"/>
              <w:rPr>
                <w:rFonts w:cs="Times New Roman"/>
                <w:color w:val="000000" w:themeColor="text1"/>
              </w:rPr>
            </w:pPr>
            <w:r>
              <w:rPr>
                <w:rFonts w:cs="Times New Roman"/>
                <w:color w:val="000000" w:themeColor="text1"/>
              </w:rPr>
              <w:t>（2）排水</w:t>
            </w:r>
          </w:p>
          <w:p>
            <w:pPr>
              <w:spacing w:line="360" w:lineRule="auto"/>
              <w:ind w:firstLine="480" w:firstLineChars="200"/>
              <w:rPr>
                <w:rFonts w:cs="Times New Roman"/>
                <w:szCs w:val="24"/>
              </w:rPr>
            </w:pPr>
            <w:r>
              <w:rPr>
                <w:rFonts w:cs="Times New Roman"/>
                <w:szCs w:val="24"/>
              </w:rPr>
              <w:t>排水系统：本项目排水系统拟采用雨污分流制，设置初期雨水收集池，剩余的雨水经厂区内排水沟排入周边沟渠自然流入周边水体。项目污水为生活污水和生产污水，生产污水与初期雨水处理后全部回用，不外排；生活污水经隔油池、化粪池处理后通过市政污水管网最终进入湖南城陵矶临港产业新区污水处理厂处理达标后外排长江。本项目具体的水平衡图见下图所示。</w:t>
            </w:r>
          </w:p>
          <w:p>
            <w:pPr>
              <w:spacing w:line="360" w:lineRule="auto"/>
              <w:ind w:firstLine="480" w:firstLineChars="200"/>
              <w:rPr>
                <w:rFonts w:cs="Times New Roman"/>
                <w:u w:val="single"/>
              </w:rPr>
            </w:pPr>
            <w:r>
              <w:rPr>
                <w:rFonts w:cs="Times New Roman"/>
                <w:u w:val="single"/>
              </w:rPr>
              <w:object>
                <v:shape id="_x0000_i1025" o:spt="75" type="#_x0000_t75" style="height:304.15pt;width:353.85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pPr>
              <w:pStyle w:val="91"/>
              <w:keepNext/>
              <w:adjustRightInd w:val="0"/>
              <w:snapToGrid w:val="0"/>
              <w:spacing w:line="360" w:lineRule="auto"/>
              <w:ind w:firstLine="482"/>
              <w:jc w:val="center"/>
              <w:rPr>
                <w:rFonts w:eastAsiaTheme="minorEastAsia"/>
                <w:b/>
                <w:u w:val="single"/>
              </w:rPr>
            </w:pPr>
            <w:r>
              <w:rPr>
                <w:rFonts w:eastAsiaTheme="minorEastAsia"/>
                <w:b/>
                <w:u w:val="single"/>
              </w:rPr>
              <w:t>图</w:t>
            </w:r>
            <w:r>
              <w:rPr>
                <w:rFonts w:eastAsiaTheme="minorEastAsia"/>
                <w:b/>
                <w:u w:val="single"/>
              </w:rPr>
              <w:fldChar w:fldCharType="begin"/>
            </w:r>
            <w:r>
              <w:rPr>
                <w:rFonts w:eastAsiaTheme="minorEastAsia"/>
                <w:b/>
                <w:u w:val="single"/>
              </w:rPr>
              <w:instrText xml:space="preserve"> STYLEREF 2 \s </w:instrText>
            </w:r>
            <w:r>
              <w:rPr>
                <w:rFonts w:eastAsiaTheme="minorEastAsia"/>
                <w:b/>
                <w:u w:val="single"/>
              </w:rPr>
              <w:fldChar w:fldCharType="separate"/>
            </w:r>
            <w:r>
              <w:rPr>
                <w:rFonts w:eastAsiaTheme="minorEastAsia"/>
                <w:b/>
                <w:u w:val="single"/>
              </w:rPr>
              <w:t>1.3</w:t>
            </w:r>
            <w:r>
              <w:rPr>
                <w:rFonts w:eastAsiaTheme="minorEastAsia"/>
                <w:b/>
                <w:u w:val="single"/>
              </w:rPr>
              <w:fldChar w:fldCharType="end"/>
            </w:r>
            <w:r>
              <w:rPr>
                <w:rFonts w:eastAsiaTheme="minorEastAsia"/>
                <w:b/>
                <w:u w:val="single"/>
              </w:rPr>
              <w:noBreakHyphen/>
            </w:r>
            <w:r>
              <w:rPr>
                <w:rFonts w:eastAsiaTheme="minorEastAsia"/>
                <w:b/>
                <w:u w:val="single"/>
              </w:rPr>
              <w:fldChar w:fldCharType="begin"/>
            </w:r>
            <w:r>
              <w:rPr>
                <w:rFonts w:eastAsiaTheme="minorEastAsia"/>
                <w:b/>
                <w:u w:val="single"/>
              </w:rPr>
              <w:instrText xml:space="preserve"> SEQ 图 \* ARABIC \s 2 </w:instrText>
            </w:r>
            <w:r>
              <w:rPr>
                <w:rFonts w:eastAsiaTheme="minorEastAsia"/>
                <w:b/>
                <w:u w:val="single"/>
              </w:rPr>
              <w:fldChar w:fldCharType="separate"/>
            </w:r>
            <w:r>
              <w:rPr>
                <w:rFonts w:eastAsiaTheme="minorEastAsia"/>
                <w:b/>
                <w:u w:val="single"/>
              </w:rPr>
              <w:t>1</w:t>
            </w:r>
            <w:r>
              <w:rPr>
                <w:rFonts w:eastAsiaTheme="minorEastAsia"/>
                <w:b/>
                <w:u w:val="single"/>
              </w:rPr>
              <w:fldChar w:fldCharType="end"/>
            </w:r>
            <w:r>
              <w:rPr>
                <w:rFonts w:eastAsiaTheme="minorEastAsia"/>
                <w:b/>
                <w:u w:val="single"/>
              </w:rPr>
              <w:t xml:space="preserve">  本项目水平衡图（t/a）</w:t>
            </w:r>
          </w:p>
          <w:p>
            <w:pPr>
              <w:adjustRightInd w:val="0"/>
              <w:snapToGrid w:val="0"/>
              <w:spacing w:line="360" w:lineRule="auto"/>
              <w:ind w:firstLine="480" w:firstLineChars="200"/>
              <w:rPr>
                <w:rFonts w:cs="Times New Roman"/>
                <w:color w:val="000000" w:themeColor="text1"/>
              </w:rPr>
            </w:pPr>
            <w:r>
              <w:rPr>
                <w:rFonts w:cs="Times New Roman"/>
                <w:color w:val="000000" w:themeColor="text1"/>
              </w:rPr>
              <w:t>（3）供电</w:t>
            </w:r>
          </w:p>
          <w:p>
            <w:pPr>
              <w:pStyle w:val="91"/>
              <w:adjustRightInd w:val="0"/>
              <w:snapToGrid w:val="0"/>
              <w:spacing w:line="360" w:lineRule="auto"/>
              <w:ind w:firstLine="482"/>
              <w:rPr>
                <w:rFonts w:eastAsiaTheme="minorEastAsia"/>
                <w:sz w:val="24"/>
                <w:szCs w:val="24"/>
              </w:rPr>
            </w:pPr>
            <w:r>
              <w:rPr>
                <w:rFonts w:eastAsiaTheme="minorEastAsia"/>
                <w:sz w:val="24"/>
                <w:szCs w:val="24"/>
              </w:rPr>
              <w:t>本项目用电由区域电网负责供应</w:t>
            </w:r>
            <w:r>
              <w:rPr>
                <w:rFonts w:eastAsiaTheme="minorEastAsia"/>
                <w:color w:val="000000" w:themeColor="text1"/>
                <w:sz w:val="24"/>
                <w:szCs w:val="24"/>
              </w:rPr>
              <w:t>。本项目用电40.5万度。</w:t>
            </w:r>
          </w:p>
          <w:p>
            <w:pPr>
              <w:pStyle w:val="7"/>
              <w:rPr>
                <w:rFonts w:cs="Times New Roman" w:eastAsiaTheme="minorEastAsia"/>
                <w:color w:val="000000" w:themeColor="text1"/>
              </w:rPr>
            </w:pPr>
            <w:r>
              <w:rPr>
                <w:rFonts w:cs="Times New Roman" w:eastAsiaTheme="minorEastAsia"/>
                <w:color w:val="000000" w:themeColor="text1"/>
              </w:rPr>
              <w:t>劳动定员和工作制度</w:t>
            </w:r>
          </w:p>
          <w:p>
            <w:pPr>
              <w:spacing w:line="360" w:lineRule="auto"/>
              <w:ind w:firstLine="480" w:firstLineChars="200"/>
              <w:rPr>
                <w:rFonts w:cs="Times New Roman"/>
                <w:color w:val="0000FF"/>
              </w:rPr>
            </w:pPr>
            <w:r>
              <w:rPr>
                <w:rFonts w:cs="Times New Roman"/>
                <w:color w:val="0000FF"/>
              </w:rPr>
              <w:t>项目劳动人员为</w:t>
            </w:r>
            <w:r>
              <w:rPr>
                <w:rFonts w:hint="eastAsia" w:cs="Times New Roman"/>
                <w:color w:val="0000FF"/>
              </w:rPr>
              <w:t>28</w:t>
            </w:r>
            <w:r>
              <w:rPr>
                <w:rFonts w:cs="Times New Roman"/>
                <w:color w:val="0000FF"/>
              </w:rPr>
              <w:t>人，项目年运行时间</w:t>
            </w:r>
            <w:r>
              <w:rPr>
                <w:rFonts w:hint="eastAsia" w:cs="Times New Roman"/>
                <w:color w:val="0000FF"/>
              </w:rPr>
              <w:t>330</w:t>
            </w:r>
            <w:r>
              <w:rPr>
                <w:rFonts w:cs="Times New Roman"/>
                <w:color w:val="0000FF"/>
              </w:rPr>
              <w:t>天，每天工作8</w:t>
            </w:r>
            <w:r>
              <w:rPr>
                <w:rFonts w:hint="eastAsia" w:cs="Times New Roman"/>
                <w:color w:val="0000FF"/>
              </w:rPr>
              <w:t>~24小时（根据订单需要不定时生产）</w:t>
            </w:r>
            <w:r>
              <w:rPr>
                <w:rFonts w:cs="Times New Roman"/>
                <w:color w:val="0000FF"/>
              </w:rPr>
              <w:t>，</w:t>
            </w:r>
            <w:r>
              <w:rPr>
                <w:rFonts w:hint="eastAsia" w:cs="Times New Roman"/>
                <w:color w:val="0000FF"/>
              </w:rPr>
              <w:t>总计一年工作2000小时</w:t>
            </w:r>
            <w:r>
              <w:rPr>
                <w:rFonts w:cs="Times New Roman"/>
                <w:color w:val="0000FF"/>
              </w:rPr>
              <w:t>。</w:t>
            </w:r>
          </w:p>
          <w:p>
            <w:pPr>
              <w:pStyle w:val="7"/>
              <w:rPr>
                <w:rFonts w:cs="Times New Roman" w:eastAsiaTheme="minorEastAsia"/>
              </w:rPr>
            </w:pPr>
            <w:r>
              <w:rPr>
                <w:rFonts w:cs="Times New Roman" w:eastAsiaTheme="minorEastAsia"/>
              </w:rPr>
              <w:t>产业政策、选址合理性分析</w:t>
            </w:r>
          </w:p>
          <w:p>
            <w:pPr>
              <w:pStyle w:val="8"/>
            </w:pPr>
            <w:r>
              <w:t>产业政策符合性分析</w:t>
            </w:r>
          </w:p>
          <w:p>
            <w:pPr>
              <w:spacing w:line="360" w:lineRule="auto"/>
              <w:ind w:firstLine="480" w:firstLineChars="200"/>
              <w:rPr>
                <w:rFonts w:cs="Times New Roman"/>
                <w:color w:val="000000" w:themeColor="text1"/>
              </w:rPr>
            </w:pPr>
            <w:r>
              <w:rPr>
                <w:rFonts w:cs="Times New Roman"/>
                <w:color w:val="000000" w:themeColor="text1"/>
                <w:szCs w:val="24"/>
              </w:rPr>
              <w:t>本项目主要从事商品混凝土加工，项目属于非金属矿物制品业，其所采用的生产工艺、生产产品及所使用的生产加工设备均不属于国家发改委《产业结构调整指导目录（2019年修正）》中的限制和淘汰类，属于允许建设项目。</w:t>
            </w:r>
          </w:p>
          <w:p>
            <w:pPr>
              <w:pStyle w:val="8"/>
            </w:pPr>
            <w:r>
              <w:t>选址合理性分析</w:t>
            </w:r>
          </w:p>
          <w:p>
            <w:pPr>
              <w:pStyle w:val="125"/>
              <w:spacing w:line="360" w:lineRule="auto"/>
              <w:ind w:firstLine="480" w:firstLineChars="200"/>
              <w:rPr>
                <w:rFonts w:hAnsi="宋体"/>
                <w:color w:val="0000FF"/>
                <w:sz w:val="24"/>
                <w:szCs w:val="24"/>
                <w:u w:val="single"/>
              </w:rPr>
            </w:pPr>
            <w:r>
              <w:rPr>
                <w:rFonts w:eastAsiaTheme="minorEastAsia"/>
                <w:sz w:val="24"/>
                <w:szCs w:val="24"/>
              </w:rPr>
              <w:t>本项目位于湖南省岳阳市城陵矶新港区长江大道与环湖交汇处，属于湖南城陵矶临港产业区新区范围内，用地为工业用地。本项目为湖南城陵矶临港产业新区招商项目，符合湖南城陵矶临港产业新区的产业定位及入园标准。</w:t>
            </w:r>
            <w:r>
              <w:rPr>
                <w:rFonts w:hint="eastAsia" w:hAnsi="宋体"/>
                <w:color w:val="000000"/>
                <w:sz w:val="24"/>
                <w:szCs w:val="24"/>
                <w:u w:val="single"/>
              </w:rPr>
              <w:t>根据《岳阳市临港高新区技术产业开发区规划环评影响跟踪评价报告书》可知，临港新区核心是岳阳市的重要组成部分，是城市的重要发展组团，以发展工业为主，规划工业总用地为940.49公顷，分一、二、三类工业用地，再根据《湖南城陵矶临港产业新区总体规划图》可知，本项目选址位于湖南城陵矶临港产业新区总体规划的二类工业工地，本项目的项目类别主要是非金属矿物制品业，</w:t>
            </w:r>
            <w:r>
              <w:rPr>
                <w:rFonts w:hint="eastAsia" w:hAnsi="宋体"/>
                <w:color w:val="0000FF"/>
                <w:sz w:val="24"/>
                <w:szCs w:val="24"/>
                <w:u w:val="single"/>
              </w:rPr>
              <w:t>符合二类工业用地行业范围。</w:t>
            </w:r>
          </w:p>
          <w:p>
            <w:pPr>
              <w:pStyle w:val="125"/>
              <w:spacing w:line="360" w:lineRule="auto"/>
              <w:ind w:firstLine="480" w:firstLineChars="200"/>
              <w:rPr>
                <w:rFonts w:eastAsiaTheme="minorEastAsia"/>
                <w:sz w:val="24"/>
                <w:szCs w:val="24"/>
              </w:rPr>
            </w:pPr>
            <w:r>
              <w:rPr>
                <w:rFonts w:eastAsiaTheme="minorEastAsia"/>
                <w:sz w:val="24"/>
                <w:szCs w:val="24"/>
              </w:rPr>
              <w:t>所在地交通条件优越，区域内水、电、路、通讯等基础设施均已完善；该项目建设符合当地环境功能区划要求；项目运营过程中污染物能够现实达标排放，对周边环境敏感目标影响较小。</w:t>
            </w:r>
          </w:p>
          <w:p>
            <w:pPr>
              <w:pStyle w:val="125"/>
              <w:spacing w:line="360" w:lineRule="auto"/>
              <w:ind w:firstLine="480" w:firstLineChars="200"/>
              <w:rPr>
                <w:rFonts w:eastAsiaTheme="minorEastAsia"/>
                <w:sz w:val="24"/>
                <w:szCs w:val="24"/>
              </w:rPr>
            </w:pPr>
            <w:r>
              <w:rPr>
                <w:rFonts w:eastAsiaTheme="minorEastAsia"/>
                <w:sz w:val="24"/>
                <w:szCs w:val="24"/>
              </w:rPr>
              <w:t>综上所述，项目所在区域环境具有相容性，无重大外环境制约因素，从环境保护的角度而言，本项目的选址合理可行。</w:t>
            </w:r>
          </w:p>
          <w:p>
            <w:pPr>
              <w:pStyle w:val="8"/>
            </w:pPr>
            <w:r>
              <w:rPr>
                <w:rFonts w:hint="eastAsia"/>
              </w:rPr>
              <w:t>本项目与湖南城陵矶临港产业新区规划符合性分析</w:t>
            </w:r>
          </w:p>
          <w:p>
            <w:pPr>
              <w:pStyle w:val="125"/>
              <w:spacing w:line="360" w:lineRule="auto"/>
              <w:ind w:firstLine="480" w:firstLineChars="200"/>
              <w:rPr>
                <w:rFonts w:eastAsiaTheme="minorEastAsia"/>
                <w:color w:val="000000" w:themeColor="text1"/>
              </w:rPr>
            </w:pPr>
            <w:r>
              <w:rPr>
                <w:rFonts w:eastAsiaTheme="minorEastAsia"/>
                <w:color w:val="000000" w:themeColor="text1"/>
                <w:sz w:val="24"/>
                <w:szCs w:val="24"/>
              </w:rPr>
              <w:t>本项目位于湖南省岳阳市城陵矶新港区长江大道与环湖交汇处，属于湖南城陵矶临港产业区新区范围内</w:t>
            </w:r>
            <w:r>
              <w:rPr>
                <w:rFonts w:hint="eastAsia" w:eastAsiaTheme="minorEastAsia"/>
                <w:color w:val="000000" w:themeColor="text1"/>
                <w:sz w:val="24"/>
                <w:szCs w:val="24"/>
              </w:rPr>
              <w:t>。临港产业核心区规划布置新能材料、高技术服务、高端装备制造、电子信息四大产业。其中新材料重点发展先进储能材料、先进复合材料。差异化发展化工新材料；高技术服务重点发展港口航运物流集装箱、石油化工储运、大宗散货杂货配送、</w:t>
            </w:r>
            <w:r>
              <w:rPr>
                <w:rFonts w:ascii="宋体" w:hAnsi="宋体" w:cs="宋体"/>
                <w:color w:val="000000" w:themeColor="text1"/>
                <w:sz w:val="24"/>
                <w:szCs w:val="24"/>
              </w:rPr>
              <w:t>大宗农产品及粮油和城陵矶港保税物流等六大物流中心，积极发展服务 外包和电子商务物流产业；高端装备制造重点发展港口机械装备、工程建筑装备、 化工机械装备和交通运输装备等产业；电子信息重点发展节能灯具、激光、电子、 精密仪器等产业。</w:t>
            </w:r>
          </w:p>
          <w:p>
            <w:pPr>
              <w:pStyle w:val="15"/>
              <w:spacing w:line="240" w:lineRule="auto"/>
              <w:ind w:firstLine="422" w:firstLineChars="200"/>
              <w:rPr>
                <w:rFonts w:cs="Times New Roman"/>
                <w:color w:val="000000" w:themeColor="text1"/>
                <w:sz w:val="21"/>
                <w:szCs w:val="21"/>
              </w:rPr>
            </w:pPr>
            <w:r>
              <w:rPr>
                <w:color w:val="000000" w:themeColor="text1"/>
                <w:sz w:val="21"/>
                <w:szCs w:val="21"/>
              </w:rPr>
              <w:t xml:space="preserve">表 </w:t>
            </w:r>
            <w:r>
              <w:rPr>
                <w:color w:val="000000" w:themeColor="text1"/>
                <w:sz w:val="21"/>
                <w:szCs w:val="21"/>
              </w:rPr>
              <w:fldChar w:fldCharType="begin"/>
            </w:r>
            <w:r>
              <w:rPr>
                <w:color w:val="000000" w:themeColor="text1"/>
                <w:sz w:val="21"/>
                <w:szCs w:val="21"/>
              </w:rPr>
              <w:instrText xml:space="preserve"> STYLEREF 2 \s </w:instrText>
            </w:r>
            <w:r>
              <w:rPr>
                <w:color w:val="000000" w:themeColor="text1"/>
                <w:sz w:val="21"/>
                <w:szCs w:val="21"/>
              </w:rPr>
              <w:fldChar w:fldCharType="separate"/>
            </w:r>
            <w:r>
              <w:rPr>
                <w:color w:val="000000" w:themeColor="text1"/>
                <w:sz w:val="21"/>
                <w:szCs w:val="21"/>
              </w:rPr>
              <w:t>1</w:t>
            </w:r>
            <w:r>
              <w:rPr>
                <w:rFonts w:hint="eastAsia"/>
                <w:color w:val="000000" w:themeColor="text1"/>
                <w:sz w:val="21"/>
                <w:szCs w:val="21"/>
              </w:rPr>
              <w:t>.</w:t>
            </w:r>
            <w:r>
              <w:rPr>
                <w:color w:val="000000" w:themeColor="text1"/>
                <w:sz w:val="21"/>
                <w:szCs w:val="21"/>
              </w:rPr>
              <w:t>3</w:t>
            </w:r>
            <w:r>
              <w:rPr>
                <w:color w:val="000000" w:themeColor="text1"/>
                <w:sz w:val="21"/>
                <w:szCs w:val="21"/>
              </w:rPr>
              <w:fldChar w:fldCharType="end"/>
            </w:r>
            <w:r>
              <w:rPr>
                <w:rFonts w:hint="eastAsia"/>
                <w:color w:val="000000" w:themeColor="text1"/>
                <w:sz w:val="21"/>
                <w:szCs w:val="21"/>
              </w:rPr>
              <w:t>-</w:t>
            </w:r>
            <w:r>
              <w:rPr>
                <w:color w:val="000000" w:themeColor="text1"/>
                <w:sz w:val="21"/>
                <w:szCs w:val="21"/>
              </w:rPr>
              <w:fldChar w:fldCharType="begin"/>
            </w:r>
            <w:r>
              <w:rPr>
                <w:color w:val="000000" w:themeColor="text1"/>
                <w:sz w:val="21"/>
                <w:szCs w:val="21"/>
              </w:rPr>
              <w:instrText xml:space="preserve"> SEQ 表 \* ARABIC \s 2 </w:instrText>
            </w:r>
            <w:r>
              <w:rPr>
                <w:color w:val="000000" w:themeColor="text1"/>
                <w:sz w:val="21"/>
                <w:szCs w:val="21"/>
              </w:rPr>
              <w:fldChar w:fldCharType="separate"/>
            </w:r>
            <w:r>
              <w:rPr>
                <w:color w:val="000000" w:themeColor="text1"/>
                <w:sz w:val="21"/>
                <w:szCs w:val="21"/>
              </w:rPr>
              <w:t>6</w:t>
            </w:r>
            <w:r>
              <w:rPr>
                <w:color w:val="000000" w:themeColor="text1"/>
                <w:sz w:val="21"/>
                <w:szCs w:val="21"/>
              </w:rPr>
              <w:fldChar w:fldCharType="end"/>
            </w:r>
            <w:r>
              <w:rPr>
                <w:rFonts w:hint="eastAsia"/>
                <w:color w:val="000000" w:themeColor="text1"/>
                <w:sz w:val="21"/>
                <w:szCs w:val="21"/>
              </w:rPr>
              <w:t xml:space="preserve">  临港行业准入和准入条件一栏表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7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pPr>
                    <w:pStyle w:val="2"/>
                    <w:spacing w:after="0"/>
                    <w:jc w:val="center"/>
                    <w:rPr>
                      <w:color w:val="000000" w:themeColor="text1"/>
                      <w:sz w:val="21"/>
                    </w:rPr>
                  </w:pPr>
                  <w:r>
                    <w:rPr>
                      <w:color w:val="000000" w:themeColor="text1"/>
                      <w:sz w:val="21"/>
                    </w:rPr>
                    <w:t>类型</w:t>
                  </w:r>
                </w:p>
              </w:tc>
              <w:tc>
                <w:tcPr>
                  <w:tcW w:w="7929" w:type="dxa"/>
                  <w:vAlign w:val="center"/>
                </w:tcPr>
                <w:p>
                  <w:pPr>
                    <w:pStyle w:val="2"/>
                    <w:spacing w:after="0"/>
                    <w:jc w:val="center"/>
                    <w:rPr>
                      <w:color w:val="000000" w:themeColor="text1"/>
                      <w:sz w:val="21"/>
                    </w:rPr>
                  </w:pPr>
                  <w:r>
                    <w:rPr>
                      <w:color w:val="000000" w:themeColor="text1"/>
                      <w:sz w:val="21"/>
                    </w:rPr>
                    <w:t>行业类别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pPr>
                    <w:pStyle w:val="2"/>
                    <w:spacing w:after="0"/>
                    <w:jc w:val="center"/>
                    <w:rPr>
                      <w:color w:val="000000" w:themeColor="text1"/>
                      <w:sz w:val="21"/>
                    </w:rPr>
                  </w:pPr>
                  <w:r>
                    <w:rPr>
                      <w:color w:val="000000" w:themeColor="text1"/>
                      <w:sz w:val="21"/>
                    </w:rPr>
                    <w:t>鼓励类</w:t>
                  </w:r>
                </w:p>
              </w:tc>
              <w:tc>
                <w:tcPr>
                  <w:tcW w:w="7929" w:type="dxa"/>
                  <w:vAlign w:val="center"/>
                </w:tcPr>
                <w:p>
                  <w:pPr>
                    <w:pStyle w:val="2"/>
                    <w:spacing w:after="0"/>
                    <w:rPr>
                      <w:color w:val="000000" w:themeColor="text1"/>
                      <w:sz w:val="21"/>
                    </w:rPr>
                  </w:pPr>
                  <w:r>
                    <w:rPr>
                      <w:color w:val="000000" w:themeColor="text1"/>
                      <w:sz w:val="21"/>
                    </w:rPr>
                    <w:t>一类工业企业：企业技术研发机构、无工业废水、工艺废气排放的产业、现代物流、基础设施项目：交通运输、邮电通讯、供水、供热、供气、污水处理等；二类工业企业：先进机械制造业、环保新材料、高新技术产业；综合利用资源与再生资源、环境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pPr>
                    <w:pStyle w:val="2"/>
                    <w:spacing w:after="0"/>
                    <w:jc w:val="center"/>
                    <w:rPr>
                      <w:color w:val="000000" w:themeColor="text1"/>
                      <w:sz w:val="21"/>
                    </w:rPr>
                  </w:pPr>
                  <w:r>
                    <w:rPr>
                      <w:color w:val="000000" w:themeColor="text1"/>
                      <w:sz w:val="21"/>
                    </w:rPr>
                    <w:t>允许类</w:t>
                  </w:r>
                </w:p>
              </w:tc>
              <w:tc>
                <w:tcPr>
                  <w:tcW w:w="7929" w:type="dxa"/>
                  <w:vAlign w:val="center"/>
                </w:tcPr>
                <w:p>
                  <w:pPr>
                    <w:pStyle w:val="2"/>
                    <w:spacing w:after="0"/>
                    <w:rPr>
                      <w:color w:val="000000" w:themeColor="text1"/>
                      <w:sz w:val="21"/>
                    </w:rPr>
                  </w:pPr>
                  <w:r>
                    <w:rPr>
                      <w:color w:val="000000" w:themeColor="text1"/>
                      <w:sz w:val="21"/>
                    </w:rPr>
                    <w:t>二类工业企业：排污量小，物耗能耗低的与主导产业配套的相关产业。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pPr>
                    <w:pStyle w:val="2"/>
                    <w:spacing w:after="0"/>
                    <w:jc w:val="center"/>
                    <w:rPr>
                      <w:color w:val="000000" w:themeColor="text1"/>
                      <w:sz w:val="21"/>
                    </w:rPr>
                  </w:pPr>
                  <w:r>
                    <w:rPr>
                      <w:color w:val="000000" w:themeColor="text1"/>
                      <w:sz w:val="21"/>
                    </w:rPr>
                    <w:t>限制类</w:t>
                  </w:r>
                </w:p>
              </w:tc>
              <w:tc>
                <w:tcPr>
                  <w:tcW w:w="7929" w:type="dxa"/>
                  <w:vAlign w:val="center"/>
                </w:tcPr>
                <w:p>
                  <w:pPr>
                    <w:pStyle w:val="2"/>
                    <w:spacing w:after="0"/>
                    <w:rPr>
                      <w:color w:val="000000" w:themeColor="text1"/>
                      <w:sz w:val="21"/>
                    </w:rPr>
                  </w:pPr>
                  <w:r>
                    <w:rPr>
                      <w:color w:val="000000" w:themeColor="text1"/>
                      <w:sz w:val="21"/>
                    </w:rPr>
                    <w:t>一、二类工业企业：水耗、能耗较高的工业项目、现有生产能力大，市场容量小的项目； 三类工业企业：制革工业、电镀工业、使用含汞、砷、镉、铬、铅、氰化物等为原料的项目、水耗、能耗较高的工业项目、现有生产能力大，市场容量小的项目。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 w:type="dxa"/>
                  <w:vAlign w:val="center"/>
                </w:tcPr>
                <w:p>
                  <w:pPr>
                    <w:pStyle w:val="2"/>
                    <w:spacing w:after="0"/>
                    <w:jc w:val="center"/>
                    <w:rPr>
                      <w:color w:val="000000" w:themeColor="text1"/>
                      <w:sz w:val="21"/>
                    </w:rPr>
                  </w:pPr>
                  <w:r>
                    <w:rPr>
                      <w:color w:val="000000" w:themeColor="text1"/>
                      <w:sz w:val="21"/>
                    </w:rPr>
                    <w:t>禁止类</w:t>
                  </w:r>
                </w:p>
              </w:tc>
              <w:tc>
                <w:tcPr>
                  <w:tcW w:w="7929" w:type="dxa"/>
                  <w:vAlign w:val="center"/>
                </w:tcPr>
                <w:p>
                  <w:pPr>
                    <w:pStyle w:val="2"/>
                    <w:spacing w:after="0"/>
                    <w:rPr>
                      <w:color w:val="000000" w:themeColor="text1"/>
                      <w:sz w:val="21"/>
                    </w:rPr>
                  </w:pPr>
                  <w:r>
                    <w:rPr>
                      <w:color w:val="000000" w:themeColor="text1"/>
                      <w:sz w:val="21"/>
                    </w:rPr>
                    <w:t>不符合核心区产业定位的一、二、三类工业企业项目；禁止铅、锌、铬等重污染冶炼行业；纺织印染、炼油、农药工业；水处理设施不完善的企业禁止开工生产；纺织印染工业；致癌、致畸、致突变产品生产项目；来料加工的海外废金属、塑料、纸张工业；电力工业的小火力发电；国家明文禁止的</w:t>
                  </w:r>
                  <w:r>
                    <w:rPr>
                      <w:rFonts w:hint="eastAsia"/>
                      <w:color w:val="000000" w:themeColor="text1"/>
                      <w:sz w:val="21"/>
                    </w:rPr>
                    <w:t>“</w:t>
                  </w:r>
                  <w:r>
                    <w:rPr>
                      <w:color w:val="000000" w:themeColor="text1"/>
                      <w:sz w:val="21"/>
                    </w:rPr>
                    <w:t>十五小</w:t>
                  </w:r>
                  <w:r>
                    <w:rPr>
                      <w:rFonts w:hint="eastAsia"/>
                      <w:color w:val="000000" w:themeColor="text1"/>
                      <w:sz w:val="21"/>
                    </w:rPr>
                    <w:t>”</w:t>
                  </w:r>
                  <w:r>
                    <w:rPr>
                      <w:color w:val="000000" w:themeColor="text1"/>
                      <w:sz w:val="21"/>
                    </w:rPr>
                    <w:t>和</w:t>
                  </w:r>
                  <w:r>
                    <w:rPr>
                      <w:rFonts w:hint="eastAsia"/>
                      <w:color w:val="000000" w:themeColor="text1"/>
                      <w:sz w:val="21"/>
                    </w:rPr>
                    <w:t>“</w:t>
                  </w:r>
                  <w:r>
                    <w:rPr>
                      <w:color w:val="000000" w:themeColor="text1"/>
                      <w:sz w:val="21"/>
                    </w:rPr>
                    <w:t>新五小</w:t>
                  </w:r>
                  <w:r>
                    <w:rPr>
                      <w:rFonts w:hint="eastAsia"/>
                      <w:color w:val="000000" w:themeColor="text1"/>
                      <w:sz w:val="21"/>
                    </w:rPr>
                    <w:t>”</w:t>
                  </w:r>
                  <w:r>
                    <w:rPr>
                      <w:color w:val="000000" w:themeColor="text1"/>
                      <w:sz w:val="21"/>
                    </w:rPr>
                    <w:t>项目，以及大量增加 SO</w:t>
                  </w:r>
                  <w:r>
                    <w:rPr>
                      <w:color w:val="000000" w:themeColor="text1"/>
                      <w:sz w:val="21"/>
                      <w:vertAlign w:val="subscript"/>
                    </w:rPr>
                    <w:t>2</w:t>
                  </w:r>
                  <w:r>
                    <w:rPr>
                      <w:color w:val="000000" w:themeColor="text1"/>
                      <w:sz w:val="21"/>
                    </w:rPr>
                    <w:t>、NOx、COD、NH</w:t>
                  </w:r>
                  <w:r>
                    <w:rPr>
                      <w:color w:val="000000" w:themeColor="text1"/>
                      <w:sz w:val="21"/>
                      <w:vertAlign w:val="subscript"/>
                    </w:rPr>
                    <w:t>3</w:t>
                  </w:r>
                  <w:r>
                    <w:rPr>
                      <w:color w:val="000000" w:themeColor="text1"/>
                      <w:sz w:val="21"/>
                    </w:rPr>
                    <w:t>-N排放的工业项目。</w:t>
                  </w:r>
                </w:p>
              </w:tc>
            </w:tr>
          </w:tbl>
          <w:p>
            <w:pPr>
              <w:pStyle w:val="15"/>
              <w:ind w:firstLine="480" w:firstLineChars="200"/>
              <w:jc w:val="both"/>
              <w:rPr>
                <w:rFonts w:cs="Times New Roman" w:eastAsiaTheme="minorEastAsia"/>
                <w:b w:val="0"/>
                <w:bCs/>
                <w:color w:val="000000" w:themeColor="text1"/>
              </w:rPr>
            </w:pPr>
            <w:r>
              <w:rPr>
                <w:rFonts w:hint="eastAsia" w:cs="Times New Roman"/>
                <w:b w:val="0"/>
                <w:bCs/>
                <w:color w:val="000000" w:themeColor="text1"/>
              </w:rPr>
              <w:t>本项目主要为</w:t>
            </w:r>
            <w:r>
              <w:rPr>
                <w:rFonts w:hint="eastAsia" w:hAnsi="宋体" w:cs="Times New Roman"/>
                <w:b w:val="0"/>
                <w:bCs/>
                <w:color w:val="000000" w:themeColor="text1"/>
                <w:kern w:val="0"/>
                <w:szCs w:val="21"/>
              </w:rPr>
              <w:t>水泥制品制造，本项目排污量小、物耗能耗低是与主导产业配套的相关产业，</w:t>
            </w:r>
            <w:r>
              <w:rPr>
                <w:rFonts w:hint="eastAsia" w:cs="Times New Roman" w:eastAsiaTheme="minorEastAsia"/>
                <w:b w:val="0"/>
                <w:bCs/>
                <w:color w:val="000000" w:themeColor="text1"/>
                <w:szCs w:val="24"/>
              </w:rPr>
              <w:t>本项目建设与周边环境不相冲突，符合园区允许类产业，项目不属于湖南城陵矶临港产业区新区限制及禁止发展的工业行业类别，符合当地区域产业规划。</w:t>
            </w:r>
          </w:p>
          <w:p>
            <w:pPr>
              <w:pStyle w:val="7"/>
              <w:adjustRightInd w:val="0"/>
              <w:snapToGrid w:val="0"/>
            </w:pPr>
            <w:r>
              <w:t>本项目与“三线一单”符合判定性分析</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（1）生态红线</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需依法在重点生态功能区、生态环境敏感区和脆弱区等区域划定的严格管控边界，是国家和区域生态安全的底线，对于维护生态安全格局、保障生态服务功能、支撑经济社会可持续发展具有重要作用。根据《湖南省人民政府关于印发&lt;湖南省生态保护红线&gt;的通知》湘政发【2018】20号，生态保护红线划定结果：湖南省生态保护红线划定面积为4.28万平方公里，占全省国土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区及重要水域。项目位于岳阳市城陵矶新港区长江大道与环湖路交汇处，该区域属岳阳市的边远地区，与岳阳市总体规划不冲突，选址符合要求，未违背生态保护红线空间管控要求，因此项目建设符合生态红线要求。</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（2）环境质量底线</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根据岳阳市人民政府关于印发《岳阳市水环境功能区管理规定》、《岳阳市水环境功能区划分》、《岳阳市环境空气质量功能区划分》、《岳阳市城市区域环境噪声标准适用区域划分规定》的通知（岳政发[2002]18号），对全市的环境空气、地表水、声环境功能区进行了划分。</w:t>
            </w:r>
          </w:p>
          <w:p>
            <w:pPr>
              <w:pStyle w:val="144"/>
              <w:adjustRightInd w:val="0"/>
              <w:snapToGrid w:val="0"/>
              <w:spacing w:line="360" w:lineRule="auto"/>
              <w:ind w:firstLine="480" w:firstLineChars="200"/>
              <w:rPr>
                <w:rFonts w:eastAsiaTheme="minorEastAsia"/>
                <w:sz w:val="24"/>
                <w:szCs w:val="24"/>
              </w:rPr>
            </w:pPr>
            <w:r>
              <w:rPr>
                <w:rFonts w:eastAsiaTheme="minorEastAsia"/>
                <w:sz w:val="24"/>
                <w:szCs w:val="24"/>
              </w:rPr>
              <w:t>项目选址产生的废气废水及固废在采取相关措施后，不会对外环境产生不良影响。且项目地根据现场踏勘水质符合相关标准，因此，本项目建设符合环境质量底线要求的。</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（3）资源利用上线</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项目主要利用水和电等资源。因此，项目资源利用满足要求。</w:t>
            </w:r>
          </w:p>
          <w:p>
            <w:pPr>
              <w:pStyle w:val="144"/>
              <w:adjustRightInd w:val="0"/>
              <w:snapToGrid w:val="0"/>
              <w:spacing w:line="360" w:lineRule="auto"/>
              <w:ind w:firstLine="480" w:firstLineChars="200"/>
              <w:rPr>
                <w:rFonts w:eastAsiaTheme="minorEastAsia"/>
                <w:color w:val="000000"/>
                <w:kern w:val="0"/>
                <w:sz w:val="24"/>
                <w:szCs w:val="24"/>
              </w:rPr>
            </w:pPr>
            <w:r>
              <w:rPr>
                <w:rFonts w:eastAsiaTheme="minorEastAsia"/>
                <w:color w:val="000000"/>
                <w:kern w:val="0"/>
                <w:sz w:val="24"/>
                <w:szCs w:val="24"/>
              </w:rPr>
              <w:t>（4）环境准入负面清单</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根据《关于印发&lt;湖南省新增19个国家重点生态功能区产业准入负面清单（试行）&gt;的通知，湘发改规划〔2018〕972号》、《湖南省发展和改革委员会关于印发&lt;湖南省国家重点生态功能区产业准入负面清单&gt;的通知，湘发改规划〔2018〕373号》，</w:t>
            </w:r>
            <w:r>
              <w:rPr>
                <w:rFonts w:hint="eastAsia" w:ascii="Times New Roman" w:hAnsi="Times New Roman" w:cs="Times New Roman"/>
                <w:kern w:val="2"/>
              </w:rPr>
              <w:t>岳阳市临港新区</w:t>
            </w:r>
            <w:r>
              <w:rPr>
                <w:rFonts w:ascii="Times New Roman" w:hAnsi="Times New Roman" w:cs="Times New Roman"/>
                <w:kern w:val="2"/>
              </w:rPr>
              <w:t>尚无环境准入负面清单，本项目岳阳市城陵矶新港区长江大道与环湖路交汇处，符合区域发展和产业定位要求。</w:t>
            </w:r>
          </w:p>
          <w:p>
            <w:pPr>
              <w:pStyle w:val="82"/>
              <w:snapToGrid w:val="0"/>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综上所述，项目建设符合“三线一单”的相关要求。</w:t>
            </w:r>
          </w:p>
          <w:p>
            <w:pPr>
              <w:pStyle w:val="7"/>
            </w:pPr>
            <w:r>
              <w:t>与《湖南省长江经济带发展负面清单实施细则（试行）》的符合性分析</w:t>
            </w:r>
          </w:p>
          <w:p>
            <w:pPr>
              <w:spacing w:line="360" w:lineRule="auto"/>
              <w:ind w:firstLine="480" w:firstLineChars="200"/>
              <w:rPr>
                <w:rFonts w:cs="Times New Roman"/>
              </w:rPr>
            </w:pPr>
            <w:r>
              <w:rPr>
                <w:rFonts w:cs="Times New Roman"/>
              </w:rPr>
              <w:t>《湖南省长沙经济带发展负面清单实施细则（试行）》</w:t>
            </w:r>
            <w:r>
              <w:rPr>
                <w:rFonts w:cs="Times New Roman"/>
                <w:szCs w:val="24"/>
              </w:rPr>
              <w:t>与本项目相关条款见下表。</w:t>
            </w:r>
          </w:p>
          <w:p>
            <w:pPr>
              <w:keepNext/>
              <w:jc w:val="center"/>
              <w:rPr>
                <w:rFonts w:cs="Times New Roman"/>
                <w:b/>
                <w:sz w:val="21"/>
              </w:rPr>
            </w:pPr>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1.3</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7</w:t>
            </w:r>
            <w:r>
              <w:rPr>
                <w:rFonts w:cs="Times New Roman"/>
                <w:b/>
                <w:sz w:val="21"/>
              </w:rPr>
              <w:fldChar w:fldCharType="end"/>
            </w:r>
            <w:r>
              <w:rPr>
                <w:rFonts w:cs="Times New Roman"/>
                <w:b/>
                <w:sz w:val="21"/>
              </w:rPr>
              <w:t xml:space="preserve"> 《湖南省长沙经济带发展负面清单实施细则（试行）》</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3807"/>
              <w:gridCol w:w="2212"/>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“细则”条款</w:t>
                  </w:r>
                </w:p>
              </w:tc>
              <w:tc>
                <w:tcPr>
                  <w:tcW w:w="2294"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条款内容</w:t>
                  </w:r>
                </w:p>
              </w:tc>
              <w:tc>
                <w:tcPr>
                  <w:tcW w:w="1333"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本项目实际内容</w:t>
                  </w:r>
                </w:p>
              </w:tc>
              <w:tc>
                <w:tcPr>
                  <w:tcW w:w="586"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是否违规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第十八条</w:t>
                  </w:r>
                </w:p>
              </w:tc>
              <w:tc>
                <w:tcPr>
                  <w:tcW w:w="2294"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禁止在长江干支流(长江干流湖南段、湘江沅江干流及洞庭湖)岸线1公里范围(指长江干支流岸线边界向陆域纵深1公里，边界指水利部门河道管理范围边界)内新建、扩建化工园区和化工项目。禁止在《中国开发区审核公告目录》公布的园区或省人民政府批准设立的园区外新建、扩建钢铁、石化、化工、焦化、建材、有色等高污染项目。</w:t>
                  </w:r>
                </w:p>
              </w:tc>
              <w:tc>
                <w:tcPr>
                  <w:tcW w:w="1333"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本项目不涉及化工生产，但属于建材行业，根据《环境保护综合名录（2017年版）》，本项目不属于其中的高污染项目</w:t>
                  </w:r>
                </w:p>
              </w:tc>
              <w:tc>
                <w:tcPr>
                  <w:tcW w:w="586"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第二十二条</w:t>
                  </w:r>
                </w:p>
              </w:tc>
              <w:tc>
                <w:tcPr>
                  <w:tcW w:w="2294"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禁止新建、扩建法律法规和相关政策明令禁止的落后产能项目</w:t>
                  </w:r>
                  <w:r>
                    <w:rPr>
                      <w:rFonts w:hint="eastAsia" w:cs="Times New Roman"/>
                      <w:sz w:val="21"/>
                      <w:lang w:eastAsia="zh-CN"/>
                    </w:rPr>
                    <w:t>；</w:t>
                  </w:r>
                  <w:r>
                    <w:rPr>
                      <w:rFonts w:cs="Times New Roman"/>
                      <w:sz w:val="21"/>
                    </w:rPr>
                    <w:t>对不符合要求的落后产能项目，依法依规退出。</w:t>
                  </w:r>
                </w:p>
              </w:tc>
              <w:tc>
                <w:tcPr>
                  <w:tcW w:w="1333"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本项目不属于落后产能项目</w:t>
                  </w:r>
                </w:p>
              </w:tc>
              <w:tc>
                <w:tcPr>
                  <w:tcW w:w="586"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第二十三条</w:t>
                  </w:r>
                </w:p>
              </w:tc>
              <w:tc>
                <w:tcPr>
                  <w:tcW w:w="2294"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对最新版《产业结构调整指导目录》中限制类的新建项目，禁止投资;对淘汰类项目，禁止投资。国家级重点生态功能区，要严格执行国家重点生态功能区产业准入负面清单。</w:t>
                  </w:r>
                </w:p>
              </w:tc>
              <w:tc>
                <w:tcPr>
                  <w:tcW w:w="1333"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根据国家《产业结构调整指导目录》(2019年本)，本项目不属于该目录中的鼓励类、淘汰类、限制类，视为允许类</w:t>
                  </w:r>
                </w:p>
              </w:tc>
              <w:tc>
                <w:tcPr>
                  <w:tcW w:w="586"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第二十四条</w:t>
                  </w:r>
                </w:p>
              </w:tc>
              <w:tc>
                <w:tcPr>
                  <w:tcW w:w="2294"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禁止新建、扩建不符合国家产能置换要求的严重过剩产能行业(钢铁、水泥、电解铝平板玻璃、船舶等行业)的项目。</w:t>
                  </w:r>
                </w:p>
              </w:tc>
              <w:tc>
                <w:tcPr>
                  <w:tcW w:w="1333" w:type="pct"/>
                  <w:vMerge w:val="restart"/>
                  <w:tcBorders>
                    <w:top w:val="nil"/>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本项目已获得发改委的立项批复，得到相关部门的支持</w:t>
                  </w:r>
                </w:p>
              </w:tc>
              <w:tc>
                <w:tcPr>
                  <w:tcW w:w="586"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第二十五条</w:t>
                  </w:r>
                </w:p>
              </w:tc>
              <w:tc>
                <w:tcPr>
                  <w:tcW w:w="2294"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各级各部门不得以任何名义、任何方式办理产能严重过剩行业新增产能项目的建设审批手续，对确有必要新增产能的，必须严格执行产能置换实施办法，实施减量或等量置换，依法依规办理有关手续。</w:t>
                  </w:r>
                </w:p>
              </w:tc>
              <w:tc>
                <w:tcPr>
                  <w:tcW w:w="2212" w:type="dxa"/>
                  <w:vMerge w:val="continue"/>
                  <w:tcBorders>
                    <w:top w:val="nil"/>
                    <w:left w:val="nil"/>
                    <w:bottom w:val="single" w:color="auto" w:sz="4" w:space="0"/>
                    <w:right w:val="single" w:color="auto" w:sz="4" w:space="0"/>
                  </w:tcBorders>
                  <w:vAlign w:val="center"/>
                </w:tcPr>
                <w:p>
                  <w:pPr>
                    <w:widowControl/>
                    <w:jc w:val="left"/>
                    <w:rPr>
                      <w:rFonts w:cs="Times New Roman"/>
                      <w:sz w:val="21"/>
                    </w:rPr>
                  </w:pPr>
                </w:p>
              </w:tc>
              <w:tc>
                <w:tcPr>
                  <w:tcW w:w="586"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pct"/>
                  <w:tcBorders>
                    <w:top w:val="single" w:color="auto" w:sz="4" w:space="0"/>
                    <w:left w:val="single" w:color="auto" w:sz="4" w:space="0"/>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第二十六条</w:t>
                  </w:r>
                </w:p>
              </w:tc>
              <w:tc>
                <w:tcPr>
                  <w:tcW w:w="2294"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高污染项目应严格按照环境保护综合名录等有关要求执行。</w:t>
                  </w:r>
                </w:p>
              </w:tc>
              <w:tc>
                <w:tcPr>
                  <w:tcW w:w="1333"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根据《环境保护综合名录（2017年版）》，本项目不属于其中的高污染项目</w:t>
                  </w:r>
                </w:p>
              </w:tc>
              <w:tc>
                <w:tcPr>
                  <w:tcW w:w="586" w:type="pct"/>
                  <w:tcBorders>
                    <w:top w:val="single" w:color="auto" w:sz="4" w:space="0"/>
                    <w:left w:val="nil"/>
                    <w:bottom w:val="single" w:color="auto" w:sz="4" w:space="0"/>
                    <w:right w:val="single" w:color="auto" w:sz="4" w:space="0"/>
                  </w:tcBorders>
                  <w:vAlign w:val="center"/>
                </w:tcPr>
                <w:p>
                  <w:pPr>
                    <w:pStyle w:val="2"/>
                    <w:spacing w:after="0"/>
                    <w:jc w:val="center"/>
                    <w:rPr>
                      <w:rFonts w:cs="Times New Roman"/>
                      <w:sz w:val="21"/>
                    </w:rPr>
                  </w:pPr>
                  <w:r>
                    <w:rPr>
                      <w:rFonts w:cs="Times New Roman"/>
                      <w:sz w:val="21"/>
                    </w:rPr>
                    <w:t>否</w:t>
                  </w:r>
                </w:p>
              </w:tc>
            </w:tr>
          </w:tbl>
          <w:p>
            <w:pPr>
              <w:pStyle w:val="7"/>
            </w:pPr>
            <w:r>
              <w:t>平面布局合理性分析</w:t>
            </w:r>
          </w:p>
          <w:p>
            <w:pPr>
              <w:pStyle w:val="82"/>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 xml:space="preserve">厂区按功能划分为生产区和办公区。共设大门1处，人流与物流分开，主干道路宽10m，次干道路宽7m。厂区内主要建构筑物有：搅拌楼、原辅助材料存储仓库、综合楼等。 </w:t>
            </w:r>
          </w:p>
          <w:p>
            <w:pPr>
              <w:pStyle w:val="82"/>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（1）原料堆场区位于厂区的南侧，布置有砂子、碎石堆棚、砂、石储料斗。</w:t>
            </w:r>
          </w:p>
          <w:p>
            <w:pPr>
              <w:pStyle w:val="82"/>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（2）主生产区位于厂区中央，自呈“I”字型，布置有砂石输送廊、粉煤灰、水泥、外加剂等物料储存库、搅拌楼等设施。</w:t>
            </w:r>
          </w:p>
          <w:p>
            <w:pPr>
              <w:pStyle w:val="82"/>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（3）停车坪位于厂区的北侧，商混废水处理车间位于输送廊东侧。</w:t>
            </w:r>
          </w:p>
          <w:p>
            <w:pPr>
              <w:pStyle w:val="82"/>
              <w:spacing w:line="360" w:lineRule="auto"/>
              <w:ind w:firstLine="480" w:firstLineChars="200"/>
              <w:jc w:val="both"/>
              <w:rPr>
                <w:rFonts w:ascii="Times New Roman" w:hAnsi="Times New Roman" w:cs="Times New Roman"/>
                <w:kern w:val="2"/>
              </w:rPr>
            </w:pPr>
            <w:r>
              <w:rPr>
                <w:rFonts w:ascii="Times New Roman" w:hAnsi="Times New Roman" w:cs="Times New Roman"/>
                <w:kern w:val="2"/>
              </w:rPr>
              <w:t>（4）生活附辅助区位于厂区东北侧。</w:t>
            </w:r>
          </w:p>
          <w:p>
            <w:pPr>
              <w:pStyle w:val="82"/>
              <w:spacing w:line="360" w:lineRule="auto"/>
              <w:ind w:firstLine="480" w:firstLineChars="200"/>
              <w:jc w:val="both"/>
              <w:rPr>
                <w:rFonts w:cs="Times New Roman"/>
              </w:rPr>
            </w:pPr>
            <w:r>
              <w:rPr>
                <w:rFonts w:ascii="Times New Roman" w:hAnsi="Times New Roman" w:cs="Times New Roman"/>
                <w:kern w:val="2"/>
              </w:rPr>
              <w:t>本项目厂区内功能分区明确，便于生产管理，利用建筑物四周及道路两侧和围墙边种植花草、树木，在厂区内各空地进行绿化。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5000" w:type="pct"/>
            <w:gridSpan w:val="8"/>
          </w:tcPr>
          <w:p>
            <w:pPr>
              <w:spacing w:line="360" w:lineRule="auto"/>
              <w:rPr>
                <w:rFonts w:cs="Times New Roman"/>
                <w:b/>
                <w:color w:val="000000" w:themeColor="text1"/>
              </w:rPr>
            </w:pPr>
            <w:r>
              <w:rPr>
                <w:rFonts w:cs="Times New Roman"/>
                <w:b/>
                <w:color w:val="000000" w:themeColor="text1"/>
              </w:rPr>
              <w:t>与本项目有关的原有污染情况及主要环境问题：</w:t>
            </w:r>
          </w:p>
          <w:p>
            <w:pPr>
              <w:adjustRightInd w:val="0"/>
              <w:snapToGrid w:val="0"/>
              <w:spacing w:line="360" w:lineRule="auto"/>
              <w:ind w:firstLine="480" w:firstLineChars="200"/>
              <w:rPr>
                <w:rFonts w:cs="Times New Roman"/>
                <w:color w:val="000000"/>
                <w:kern w:val="0"/>
                <w:szCs w:val="24"/>
                <w:u w:val="single"/>
              </w:rPr>
            </w:pPr>
            <w:r>
              <w:rPr>
                <w:rFonts w:cs="Times New Roman"/>
                <w:color w:val="000000" w:themeColor="text1"/>
                <w:u w:val="single"/>
              </w:rPr>
              <w:t>本项目属于搬迁新建项目，</w:t>
            </w:r>
            <w:r>
              <w:rPr>
                <w:rFonts w:cs="Times New Roman"/>
                <w:szCs w:val="24"/>
                <w:u w:val="single"/>
              </w:rPr>
              <w:t>原址位于</w:t>
            </w:r>
            <w:r>
              <w:rPr>
                <w:rFonts w:cs="Times New Roman"/>
                <w:u w:val="single"/>
              </w:rPr>
              <w:t>岳阳市岳阳楼区芭蕉湖路1号，因整治及公司发展的需要，决定将原</w:t>
            </w:r>
            <w:r>
              <w:rPr>
                <w:rFonts w:cs="Times New Roman"/>
                <w:szCs w:val="24"/>
                <w:u w:val="single"/>
              </w:rPr>
              <w:t>厂定搬迁至岳阳市城陵矶新港区长江大道与环湖路交汇处，目前原厂已经停止生产。</w:t>
            </w:r>
            <w:r>
              <w:rPr>
                <w:rFonts w:cs="Times New Roman"/>
                <w:color w:val="000000"/>
                <w:kern w:val="0"/>
                <w:szCs w:val="24"/>
                <w:u w:val="single"/>
              </w:rPr>
              <w:t>本次项目建设全部重新购买设备，并且新建厂房，原有厂房已拆除，原有厂房的设备已全部处理。</w:t>
            </w:r>
          </w:p>
          <w:p>
            <w:pPr>
              <w:adjustRightInd w:val="0"/>
              <w:snapToGrid w:val="0"/>
              <w:spacing w:line="360" w:lineRule="auto"/>
              <w:ind w:firstLine="480" w:firstLineChars="200"/>
              <w:rPr>
                <w:rFonts w:cs="Times New Roman"/>
                <w:szCs w:val="24"/>
                <w:u w:val="single"/>
              </w:rPr>
            </w:pPr>
            <w:r>
              <w:rPr>
                <w:rFonts w:cs="Times New Roman"/>
                <w:u w:val="single"/>
              </w:rPr>
              <w:t>1、原</w:t>
            </w:r>
            <w:r>
              <w:rPr>
                <w:rFonts w:cs="Times New Roman"/>
                <w:szCs w:val="24"/>
                <w:u w:val="single"/>
              </w:rPr>
              <w:t>厂区污染情况及主要环境问题</w:t>
            </w:r>
          </w:p>
          <w:p>
            <w:pPr>
              <w:adjustRightInd w:val="0"/>
              <w:snapToGrid w:val="0"/>
              <w:spacing w:line="360" w:lineRule="auto"/>
              <w:ind w:firstLine="480" w:firstLineChars="200"/>
              <w:rPr>
                <w:rFonts w:cs="Times New Roman"/>
                <w:u w:val="single"/>
              </w:rPr>
            </w:pPr>
            <w:r>
              <w:rPr>
                <w:rFonts w:cs="Times New Roman"/>
                <w:u w:val="single"/>
              </w:rPr>
              <w:t>（1）基本情况</w:t>
            </w:r>
          </w:p>
          <w:p>
            <w:pPr>
              <w:adjustRightInd w:val="0"/>
              <w:snapToGrid w:val="0"/>
              <w:spacing w:line="360" w:lineRule="auto"/>
              <w:ind w:firstLine="480" w:firstLineChars="200"/>
              <w:rPr>
                <w:rFonts w:cs="Times New Roman"/>
                <w:u w:val="single"/>
              </w:rPr>
            </w:pPr>
            <w:r>
              <w:rPr>
                <w:rFonts w:cs="Times New Roman"/>
                <w:u w:val="single"/>
              </w:rPr>
              <w:t>本项目原址建于岳阳市岳阳楼区芭蕉湖路1号，共设有2条混凝土生产线，年产混凝土90万m</w:t>
            </w:r>
            <w:r>
              <w:rPr>
                <w:rFonts w:cs="Times New Roman"/>
                <w:u w:val="single"/>
                <w:vertAlign w:val="superscript"/>
              </w:rPr>
              <w:t>3</w:t>
            </w:r>
            <w:r>
              <w:rPr>
                <w:rFonts w:cs="Times New Roman"/>
                <w:u w:val="single"/>
              </w:rPr>
              <w:t>。</w:t>
            </w:r>
          </w:p>
          <w:p>
            <w:pPr>
              <w:adjustRightInd w:val="0"/>
              <w:snapToGrid w:val="0"/>
              <w:spacing w:line="360" w:lineRule="auto"/>
              <w:ind w:firstLine="480" w:firstLineChars="200"/>
              <w:rPr>
                <w:rFonts w:cs="Times New Roman"/>
                <w:u w:val="single"/>
              </w:rPr>
            </w:pPr>
            <w:r>
              <w:rPr>
                <w:rFonts w:cs="Times New Roman"/>
                <w:u w:val="single"/>
              </w:rPr>
              <w:t>（2）生产设备</w:t>
            </w:r>
          </w:p>
          <w:p>
            <w:pPr>
              <w:adjustRightInd w:val="0"/>
              <w:snapToGrid w:val="0"/>
              <w:spacing w:line="360" w:lineRule="auto"/>
              <w:ind w:firstLine="480" w:firstLineChars="200"/>
              <w:rPr>
                <w:rFonts w:cs="Times New Roman"/>
                <w:u w:val="single"/>
              </w:rPr>
            </w:pPr>
            <w:r>
              <w:rPr>
                <w:rFonts w:cs="Times New Roman"/>
                <w:u w:val="single"/>
              </w:rPr>
              <w:t>原有生产设备见下表所示。</w:t>
            </w:r>
          </w:p>
          <w:p>
            <w:pPr>
              <w:pStyle w:val="15"/>
              <w:spacing w:line="240" w:lineRule="auto"/>
              <w:rPr>
                <w:rFonts w:cs="Times New Roman" w:eastAsiaTheme="minorEastAsia"/>
                <w:sz w:val="21"/>
                <w:szCs w:val="21"/>
                <w:u w:val="single"/>
              </w:rPr>
            </w:pPr>
            <w:r>
              <w:rPr>
                <w:rFonts w:cs="Times New Roman" w:eastAsiaTheme="minorEastAsia"/>
                <w:sz w:val="21"/>
                <w:szCs w:val="21"/>
                <w:u w:val="single"/>
              </w:rPr>
              <w:t>表</w:t>
            </w:r>
            <w:r>
              <w:rPr>
                <w:rFonts w:cs="Times New Roman" w:eastAsiaTheme="minorEastAsia"/>
                <w:sz w:val="21"/>
                <w:szCs w:val="21"/>
                <w:u w:val="single"/>
              </w:rPr>
              <w:fldChar w:fldCharType="begin"/>
            </w:r>
            <w:r>
              <w:rPr>
                <w:rFonts w:cs="Times New Roman" w:eastAsiaTheme="minorEastAsia"/>
                <w:sz w:val="21"/>
                <w:szCs w:val="21"/>
                <w:u w:val="single"/>
              </w:rPr>
              <w:instrText xml:space="preserve"> STYLEREF 2 \s </w:instrText>
            </w:r>
            <w:r>
              <w:rPr>
                <w:rFonts w:cs="Times New Roman" w:eastAsiaTheme="minorEastAsia"/>
                <w:sz w:val="21"/>
                <w:szCs w:val="21"/>
                <w:u w:val="single"/>
              </w:rPr>
              <w:fldChar w:fldCharType="separate"/>
            </w:r>
            <w:r>
              <w:rPr>
                <w:rFonts w:cs="Times New Roman" w:eastAsiaTheme="minorEastAsia"/>
                <w:sz w:val="21"/>
                <w:szCs w:val="21"/>
                <w:u w:val="single"/>
              </w:rPr>
              <w:t>1.3</w:t>
            </w:r>
            <w:r>
              <w:rPr>
                <w:rFonts w:cs="Times New Roman" w:eastAsiaTheme="minorEastAsia"/>
                <w:sz w:val="21"/>
                <w:szCs w:val="21"/>
                <w:u w:val="single"/>
              </w:rPr>
              <w:fldChar w:fldCharType="end"/>
            </w:r>
            <w:r>
              <w:rPr>
                <w:rFonts w:cs="Times New Roman" w:eastAsiaTheme="minorEastAsia"/>
                <w:sz w:val="21"/>
                <w:szCs w:val="21"/>
                <w:u w:val="single"/>
              </w:rPr>
              <w:noBreakHyphen/>
            </w:r>
            <w:r>
              <w:rPr>
                <w:rFonts w:cs="Times New Roman" w:eastAsiaTheme="minorEastAsia"/>
                <w:sz w:val="21"/>
                <w:szCs w:val="21"/>
                <w:u w:val="single"/>
              </w:rPr>
              <w:fldChar w:fldCharType="begin"/>
            </w:r>
            <w:r>
              <w:rPr>
                <w:rFonts w:cs="Times New Roman" w:eastAsiaTheme="minorEastAsia"/>
                <w:sz w:val="21"/>
                <w:szCs w:val="21"/>
                <w:u w:val="single"/>
              </w:rPr>
              <w:instrText xml:space="preserve"> SEQ 表 \* ARABIC \s 2 </w:instrText>
            </w:r>
            <w:r>
              <w:rPr>
                <w:rFonts w:cs="Times New Roman" w:eastAsiaTheme="minorEastAsia"/>
                <w:sz w:val="21"/>
                <w:szCs w:val="21"/>
                <w:u w:val="single"/>
              </w:rPr>
              <w:fldChar w:fldCharType="separate"/>
            </w:r>
            <w:r>
              <w:rPr>
                <w:rFonts w:cs="Times New Roman" w:eastAsiaTheme="minorEastAsia"/>
                <w:sz w:val="21"/>
                <w:szCs w:val="21"/>
                <w:u w:val="single"/>
              </w:rPr>
              <w:t>8</w:t>
            </w:r>
            <w:r>
              <w:rPr>
                <w:rFonts w:cs="Times New Roman" w:eastAsiaTheme="minorEastAsia"/>
                <w:sz w:val="21"/>
                <w:szCs w:val="21"/>
                <w:u w:val="single"/>
              </w:rPr>
              <w:fldChar w:fldCharType="end"/>
            </w:r>
            <w:r>
              <w:rPr>
                <w:rFonts w:cs="Times New Roman" w:eastAsiaTheme="minorEastAsia"/>
                <w:sz w:val="21"/>
                <w:szCs w:val="21"/>
                <w:u w:val="single"/>
              </w:rPr>
              <w:t xml:space="preserve">  主要设备明细一览表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320"/>
              <w:gridCol w:w="3867"/>
              <w:gridCol w:w="71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2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序号</w:t>
                  </w:r>
                </w:p>
              </w:tc>
              <w:tc>
                <w:tcPr>
                  <w:tcW w:w="139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名称</w:t>
                  </w:r>
                </w:p>
              </w:tc>
              <w:tc>
                <w:tcPr>
                  <w:tcW w:w="233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型号/规格</w:t>
                  </w:r>
                </w:p>
              </w:tc>
              <w:tc>
                <w:tcPr>
                  <w:tcW w:w="42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单位</w:t>
                  </w:r>
                </w:p>
              </w:tc>
              <w:tc>
                <w:tcPr>
                  <w:tcW w:w="421"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op w:val="single" w:color="auto" w:sz="4" w:space="0"/>
                    <w:left w:val="single" w:color="auto" w:sz="4" w:space="0"/>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1</w:t>
                  </w:r>
                </w:p>
              </w:tc>
              <w:tc>
                <w:tcPr>
                  <w:tcW w:w="1398" w:type="pct"/>
                  <w:tcBorders>
                    <w:top w:val="single" w:color="auto" w:sz="4" w:space="0"/>
                    <w:left w:val="nil"/>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预拌混凝土生产线</w:t>
                  </w:r>
                </w:p>
              </w:tc>
              <w:tc>
                <w:tcPr>
                  <w:tcW w:w="2330" w:type="pct"/>
                  <w:tcBorders>
                    <w:top w:val="single" w:color="auto" w:sz="4" w:space="0"/>
                    <w:left w:val="nil"/>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HZS180</w:t>
                  </w:r>
                </w:p>
              </w:tc>
              <w:tc>
                <w:tcPr>
                  <w:tcW w:w="428" w:type="pct"/>
                  <w:tcBorders>
                    <w:top w:val="single" w:color="auto" w:sz="4" w:space="0"/>
                    <w:left w:val="nil"/>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套</w:t>
                  </w:r>
                </w:p>
              </w:tc>
              <w:tc>
                <w:tcPr>
                  <w:tcW w:w="421" w:type="pct"/>
                  <w:tcBorders>
                    <w:top w:val="single" w:color="auto" w:sz="4" w:space="0"/>
                    <w:left w:val="nil"/>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op w:val="single" w:color="auto" w:sz="4" w:space="0"/>
                    <w:left w:val="single" w:color="auto" w:sz="4" w:space="0"/>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c>
                <w:tcPr>
                  <w:tcW w:w="139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color w:val="000000"/>
                      <w:sz w:val="21"/>
                      <w:u w:val="single"/>
                    </w:rPr>
                  </w:pPr>
                  <w:r>
                    <w:rPr>
                      <w:rFonts w:cs="Times New Roman"/>
                      <w:color w:val="000000"/>
                      <w:sz w:val="21"/>
                      <w:u w:val="single"/>
                    </w:rPr>
                    <w:t>皮带输送机</w:t>
                  </w:r>
                </w:p>
              </w:tc>
              <w:tc>
                <w:tcPr>
                  <w:tcW w:w="233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B=800mm/1000mm</w:t>
                  </w:r>
                </w:p>
              </w:tc>
              <w:tc>
                <w:tcPr>
                  <w:tcW w:w="42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条</w:t>
                  </w:r>
                </w:p>
              </w:tc>
              <w:tc>
                <w:tcPr>
                  <w:tcW w:w="421" w:type="pct"/>
                  <w:tcBorders>
                    <w:top w:val="single" w:color="auto" w:sz="4" w:space="0"/>
                    <w:left w:val="nil"/>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op w:val="single" w:color="auto" w:sz="4" w:space="0"/>
                    <w:left w:val="single" w:color="auto" w:sz="4" w:space="0"/>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3</w:t>
                  </w:r>
                </w:p>
              </w:tc>
              <w:tc>
                <w:tcPr>
                  <w:tcW w:w="139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空压泵</w:t>
                  </w:r>
                </w:p>
              </w:tc>
              <w:tc>
                <w:tcPr>
                  <w:tcW w:w="233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w:t>
                  </w:r>
                </w:p>
              </w:tc>
              <w:tc>
                <w:tcPr>
                  <w:tcW w:w="42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台</w:t>
                  </w:r>
                </w:p>
              </w:tc>
              <w:tc>
                <w:tcPr>
                  <w:tcW w:w="421" w:type="pct"/>
                  <w:tcBorders>
                    <w:top w:val="single" w:color="auto" w:sz="4" w:space="0"/>
                    <w:left w:val="nil"/>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op w:val="single" w:color="auto" w:sz="4" w:space="0"/>
                    <w:left w:val="single" w:color="auto" w:sz="4" w:space="0"/>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4</w:t>
                  </w:r>
                </w:p>
              </w:tc>
              <w:tc>
                <w:tcPr>
                  <w:tcW w:w="139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水泵</w:t>
                  </w:r>
                </w:p>
              </w:tc>
              <w:tc>
                <w:tcPr>
                  <w:tcW w:w="233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w:t>
                  </w:r>
                </w:p>
              </w:tc>
              <w:tc>
                <w:tcPr>
                  <w:tcW w:w="42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台</w:t>
                  </w:r>
                </w:p>
              </w:tc>
              <w:tc>
                <w:tcPr>
                  <w:tcW w:w="421" w:type="pct"/>
                  <w:tcBorders>
                    <w:top w:val="single" w:color="auto" w:sz="4" w:space="0"/>
                    <w:left w:val="nil"/>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op w:val="single" w:color="auto" w:sz="4" w:space="0"/>
                    <w:left w:val="single" w:color="auto" w:sz="4" w:space="0"/>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5</w:t>
                  </w:r>
                </w:p>
              </w:tc>
              <w:tc>
                <w:tcPr>
                  <w:tcW w:w="139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喷水器</w:t>
                  </w:r>
                </w:p>
              </w:tc>
              <w:tc>
                <w:tcPr>
                  <w:tcW w:w="233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w:t>
                  </w:r>
                </w:p>
              </w:tc>
              <w:tc>
                <w:tcPr>
                  <w:tcW w:w="42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台</w:t>
                  </w:r>
                </w:p>
              </w:tc>
              <w:tc>
                <w:tcPr>
                  <w:tcW w:w="421" w:type="pct"/>
                  <w:tcBorders>
                    <w:top w:val="single" w:color="auto" w:sz="4" w:space="0"/>
                    <w:left w:val="nil"/>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3" w:type="pct"/>
                  <w:tcBorders>
                    <w:top w:val="single" w:color="auto" w:sz="4" w:space="0"/>
                    <w:left w:val="single" w:color="auto" w:sz="4" w:space="0"/>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6</w:t>
                  </w:r>
                </w:p>
              </w:tc>
              <w:tc>
                <w:tcPr>
                  <w:tcW w:w="139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原料筒仓</w:t>
                  </w:r>
                </w:p>
              </w:tc>
              <w:tc>
                <w:tcPr>
                  <w:tcW w:w="233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color w:val="000000" w:themeColor="text1"/>
                      <w:sz w:val="21"/>
                      <w:u w:val="single"/>
                    </w:rPr>
                    <w:t>共配置8个200T和2个100t原料罐，其中4个为水泥料罐，2个粉煤灰罐，2个矿粉罐，2个减水剂罐</w:t>
                  </w:r>
                </w:p>
              </w:tc>
              <w:tc>
                <w:tcPr>
                  <w:tcW w:w="428"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u w:val="single"/>
                    </w:rPr>
                  </w:pPr>
                  <w:r>
                    <w:rPr>
                      <w:rFonts w:cs="Times New Roman"/>
                      <w:sz w:val="21"/>
                      <w:u w:val="single"/>
                    </w:rPr>
                    <w:t>个</w:t>
                  </w:r>
                </w:p>
              </w:tc>
              <w:tc>
                <w:tcPr>
                  <w:tcW w:w="421" w:type="pct"/>
                  <w:tcBorders>
                    <w:top w:val="single" w:color="auto" w:sz="4" w:space="0"/>
                    <w:left w:val="nil"/>
                    <w:bottom w:val="single" w:color="auto" w:sz="4" w:space="0"/>
                    <w:right w:val="single" w:color="auto" w:sz="4" w:space="0"/>
                  </w:tcBorders>
                  <w:vAlign w:val="center"/>
                </w:tcPr>
                <w:p>
                  <w:pPr>
                    <w:pStyle w:val="113"/>
                    <w:spacing w:line="240" w:lineRule="auto"/>
                    <w:ind w:firstLine="0" w:firstLineChars="0"/>
                    <w:jc w:val="center"/>
                    <w:rPr>
                      <w:rFonts w:ascii="Times New Roman" w:hAnsi="Times New Roman" w:cs="Times New Roman"/>
                      <w:sz w:val="21"/>
                      <w:szCs w:val="21"/>
                      <w:u w:val="single"/>
                    </w:rPr>
                  </w:pPr>
                  <w:r>
                    <w:rPr>
                      <w:rFonts w:ascii="Times New Roman" w:hAnsi="Times New Roman" w:cs="Times New Roman"/>
                      <w:sz w:val="21"/>
                      <w:szCs w:val="21"/>
                      <w:u w:val="single"/>
                    </w:rPr>
                    <w:t>10</w:t>
                  </w:r>
                </w:p>
              </w:tc>
            </w:tr>
          </w:tbl>
          <w:p>
            <w:pPr>
              <w:adjustRightInd w:val="0"/>
              <w:snapToGrid w:val="0"/>
              <w:spacing w:line="360" w:lineRule="auto"/>
              <w:ind w:firstLine="480" w:firstLineChars="200"/>
              <w:rPr>
                <w:rFonts w:cs="Times New Roman"/>
                <w:u w:val="single"/>
              </w:rPr>
            </w:pPr>
            <w:r>
              <w:rPr>
                <w:rFonts w:cs="Times New Roman"/>
                <w:u w:val="single"/>
              </w:rPr>
              <w:t>（3）</w:t>
            </w:r>
            <w:r>
              <w:rPr>
                <w:rFonts w:hint="eastAsia" w:cs="Times New Roman"/>
                <w:u w:val="single"/>
              </w:rPr>
              <w:t>产品方案</w:t>
            </w:r>
          </w:p>
          <w:p>
            <w:pPr>
              <w:pStyle w:val="2"/>
              <w:adjustRightInd w:val="0"/>
              <w:snapToGrid w:val="0"/>
              <w:spacing w:after="0" w:line="360" w:lineRule="auto"/>
              <w:ind w:firstLine="480" w:firstLineChars="200"/>
              <w:rPr>
                <w:rFonts w:cs="Times New Roman"/>
                <w:u w:val="single"/>
              </w:rPr>
            </w:pPr>
            <w:r>
              <w:rPr>
                <w:rFonts w:cs="Times New Roman"/>
                <w:u w:val="single"/>
              </w:rPr>
              <w:t>项目生产的产品为商品混凝土、其产品质量应满足《</w:t>
            </w:r>
            <w:r>
              <w:rPr>
                <w:rFonts w:cs="Times New Roman"/>
                <w:szCs w:val="24"/>
                <w:u w:val="single"/>
                <w:shd w:val="clear" w:color="auto" w:fill="FFFFFF"/>
              </w:rPr>
              <w:t>城镇道路工程施工与质量验收规范</w:t>
            </w:r>
            <w:r>
              <w:rPr>
                <w:rFonts w:cs="Times New Roman"/>
                <w:u w:val="single"/>
              </w:rPr>
              <w:t>》</w:t>
            </w:r>
            <w:r>
              <w:rPr>
                <w:rFonts w:cs="Times New Roman"/>
                <w:szCs w:val="24"/>
                <w:u w:val="single"/>
                <w:shd w:val="clear" w:color="auto" w:fill="FFFFFF"/>
              </w:rPr>
              <w:t>（CJJ1-2008）、《建筑施工机械与设备 混凝土搅拌站（楼）》（GB/T10171-2016）、《混凝土质量控制标准》（GB 50164-2011）要求。具体的产品方案见下表所示。</w:t>
            </w:r>
          </w:p>
          <w:p>
            <w:pPr>
              <w:pStyle w:val="15"/>
              <w:spacing w:line="240" w:lineRule="auto"/>
              <w:rPr>
                <w:sz w:val="21"/>
                <w:szCs w:val="21"/>
                <w:u w:val="single"/>
              </w:rPr>
            </w:pPr>
            <w:r>
              <w:rPr>
                <w:sz w:val="21"/>
                <w:szCs w:val="21"/>
                <w:u w:val="single"/>
              </w:rPr>
              <w:t>表</w:t>
            </w:r>
            <w:r>
              <w:rPr>
                <w:sz w:val="21"/>
                <w:szCs w:val="21"/>
                <w:u w:val="single"/>
              </w:rPr>
              <w:fldChar w:fldCharType="begin"/>
            </w:r>
            <w:r>
              <w:rPr>
                <w:sz w:val="21"/>
                <w:szCs w:val="21"/>
                <w:u w:val="single"/>
              </w:rPr>
              <w:instrText xml:space="preserve"> STYLEREF 2 \s </w:instrText>
            </w:r>
            <w:r>
              <w:rPr>
                <w:sz w:val="21"/>
                <w:szCs w:val="21"/>
                <w:u w:val="single"/>
              </w:rPr>
              <w:fldChar w:fldCharType="separate"/>
            </w:r>
            <w:r>
              <w:rPr>
                <w:sz w:val="21"/>
                <w:szCs w:val="21"/>
                <w:u w:val="single"/>
              </w:rPr>
              <w:t>1</w:t>
            </w:r>
            <w:r>
              <w:rPr>
                <w:rFonts w:hint="eastAsia"/>
                <w:sz w:val="21"/>
                <w:szCs w:val="21"/>
                <w:u w:val="single"/>
              </w:rPr>
              <w:t>.</w:t>
            </w:r>
            <w:r>
              <w:rPr>
                <w:sz w:val="21"/>
                <w:szCs w:val="21"/>
                <w:u w:val="single"/>
              </w:rPr>
              <w:t>2</w:t>
            </w:r>
            <w:r>
              <w:rPr>
                <w:sz w:val="21"/>
                <w:szCs w:val="21"/>
                <w:u w:val="single"/>
              </w:rPr>
              <w:fldChar w:fldCharType="end"/>
            </w:r>
            <w:r>
              <w:rPr>
                <w:rFonts w:hint="eastAsia"/>
                <w:sz w:val="21"/>
                <w:szCs w:val="21"/>
                <w:u w:val="single"/>
              </w:rPr>
              <w:t>-</w:t>
            </w:r>
            <w:r>
              <w:rPr>
                <w:sz w:val="21"/>
                <w:szCs w:val="21"/>
                <w:u w:val="single"/>
              </w:rPr>
              <w:fldChar w:fldCharType="begin"/>
            </w:r>
            <w:r>
              <w:rPr>
                <w:sz w:val="21"/>
                <w:szCs w:val="21"/>
                <w:u w:val="single"/>
              </w:rPr>
              <w:instrText xml:space="preserve"> SEQ 表 \* ARABIC \s 2 </w:instrText>
            </w:r>
            <w:r>
              <w:rPr>
                <w:sz w:val="21"/>
                <w:szCs w:val="21"/>
                <w:u w:val="single"/>
              </w:rPr>
              <w:fldChar w:fldCharType="separate"/>
            </w:r>
            <w:r>
              <w:rPr>
                <w:sz w:val="21"/>
                <w:szCs w:val="21"/>
                <w:u w:val="single"/>
              </w:rPr>
              <w:t>9</w:t>
            </w:r>
            <w:r>
              <w:rPr>
                <w:sz w:val="21"/>
                <w:szCs w:val="21"/>
                <w:u w:val="single"/>
              </w:rPr>
              <w:fldChar w:fldCharType="end"/>
            </w:r>
            <w:r>
              <w:rPr>
                <w:rFonts w:hint="eastAsia"/>
                <w:sz w:val="21"/>
                <w:szCs w:val="21"/>
                <w:u w:val="single"/>
              </w:rPr>
              <w:t xml:space="preserve">  主要产品及生产规模</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2941"/>
              <w:gridCol w:w="2234"/>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000" w:type="pct"/>
                  <w:vAlign w:val="center"/>
                </w:tcPr>
                <w:p>
                  <w:pPr>
                    <w:jc w:val="center"/>
                    <w:rPr>
                      <w:rFonts w:cs="Times New Roman"/>
                      <w:sz w:val="21"/>
                      <w:u w:val="single"/>
                    </w:rPr>
                  </w:pPr>
                  <w:r>
                    <w:rPr>
                      <w:rFonts w:cs="Times New Roman"/>
                      <w:sz w:val="21"/>
                      <w:u w:val="single"/>
                    </w:rPr>
                    <w:t>序号</w:t>
                  </w:r>
                </w:p>
              </w:tc>
              <w:tc>
                <w:tcPr>
                  <w:tcW w:w="1772" w:type="pct"/>
                  <w:vAlign w:val="center"/>
                </w:tcPr>
                <w:p>
                  <w:pPr>
                    <w:jc w:val="center"/>
                    <w:rPr>
                      <w:rFonts w:cs="Times New Roman"/>
                      <w:sz w:val="21"/>
                      <w:u w:val="single"/>
                    </w:rPr>
                  </w:pPr>
                  <w:r>
                    <w:rPr>
                      <w:rFonts w:cs="Times New Roman"/>
                      <w:sz w:val="21"/>
                      <w:u w:val="single"/>
                    </w:rPr>
                    <w:t>成品名称</w:t>
                  </w:r>
                </w:p>
              </w:tc>
              <w:tc>
                <w:tcPr>
                  <w:tcW w:w="1346" w:type="pct"/>
                  <w:vAlign w:val="center"/>
                </w:tcPr>
                <w:p>
                  <w:pPr>
                    <w:jc w:val="center"/>
                    <w:rPr>
                      <w:rFonts w:cs="Times New Roman"/>
                      <w:sz w:val="21"/>
                      <w:u w:val="single"/>
                    </w:rPr>
                  </w:pPr>
                  <w:r>
                    <w:rPr>
                      <w:rFonts w:cs="Times New Roman"/>
                      <w:sz w:val="21"/>
                      <w:u w:val="single"/>
                    </w:rPr>
                    <w:t>单位</w:t>
                  </w:r>
                </w:p>
              </w:tc>
              <w:tc>
                <w:tcPr>
                  <w:tcW w:w="882" w:type="pct"/>
                  <w:vAlign w:val="center"/>
                </w:tcPr>
                <w:p>
                  <w:pPr>
                    <w:jc w:val="center"/>
                    <w:rPr>
                      <w:rFonts w:cs="Times New Roman"/>
                      <w:sz w:val="21"/>
                      <w:u w:val="single"/>
                    </w:rPr>
                  </w:pPr>
                  <w:r>
                    <w:rPr>
                      <w:rFonts w:cs="Times New Roman"/>
                      <w:sz w:val="21"/>
                      <w:u w:val="single"/>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1000" w:type="pct"/>
                  <w:vAlign w:val="center"/>
                </w:tcPr>
                <w:p>
                  <w:pPr>
                    <w:jc w:val="center"/>
                    <w:rPr>
                      <w:rFonts w:cs="Times New Roman"/>
                      <w:sz w:val="21"/>
                      <w:u w:val="single"/>
                    </w:rPr>
                  </w:pPr>
                  <w:r>
                    <w:rPr>
                      <w:rFonts w:cs="Times New Roman"/>
                      <w:sz w:val="21"/>
                      <w:u w:val="single"/>
                    </w:rPr>
                    <w:t>1</w:t>
                  </w:r>
                </w:p>
              </w:tc>
              <w:tc>
                <w:tcPr>
                  <w:tcW w:w="1772" w:type="pct"/>
                  <w:vAlign w:val="center"/>
                </w:tcPr>
                <w:p>
                  <w:pPr>
                    <w:jc w:val="center"/>
                    <w:rPr>
                      <w:rFonts w:cs="Times New Roman"/>
                      <w:sz w:val="21"/>
                      <w:u w:val="single"/>
                    </w:rPr>
                  </w:pPr>
                  <w:r>
                    <w:rPr>
                      <w:rFonts w:cs="Times New Roman"/>
                      <w:sz w:val="21"/>
                      <w:u w:val="single"/>
                    </w:rPr>
                    <w:t>商品混凝土</w:t>
                  </w:r>
                </w:p>
              </w:tc>
              <w:tc>
                <w:tcPr>
                  <w:tcW w:w="1346" w:type="pct"/>
                  <w:vAlign w:val="center"/>
                </w:tcPr>
                <w:p>
                  <w:pPr>
                    <w:jc w:val="center"/>
                    <w:rPr>
                      <w:rFonts w:cs="Times New Roman"/>
                      <w:sz w:val="21"/>
                      <w:u w:val="single"/>
                    </w:rPr>
                  </w:pPr>
                  <w:r>
                    <w:rPr>
                      <w:rFonts w:cs="Times New Roman"/>
                      <w:sz w:val="21"/>
                      <w:u w:val="single"/>
                    </w:rPr>
                    <w:t>万m</w:t>
                  </w:r>
                  <w:r>
                    <w:rPr>
                      <w:rFonts w:cs="Times New Roman"/>
                      <w:sz w:val="21"/>
                      <w:u w:val="single"/>
                      <w:vertAlign w:val="superscript"/>
                    </w:rPr>
                    <w:t>3</w:t>
                  </w:r>
                  <w:r>
                    <w:rPr>
                      <w:rFonts w:cs="Times New Roman"/>
                      <w:sz w:val="21"/>
                      <w:u w:val="single"/>
                    </w:rPr>
                    <w:t>/年</w:t>
                  </w:r>
                </w:p>
              </w:tc>
              <w:tc>
                <w:tcPr>
                  <w:tcW w:w="882" w:type="pct"/>
                  <w:vAlign w:val="center"/>
                </w:tcPr>
                <w:p>
                  <w:pPr>
                    <w:jc w:val="center"/>
                    <w:rPr>
                      <w:rFonts w:cs="Times New Roman"/>
                      <w:sz w:val="21"/>
                      <w:u w:val="single"/>
                    </w:rPr>
                  </w:pPr>
                  <w:r>
                    <w:rPr>
                      <w:rFonts w:cs="Times New Roman"/>
                      <w:sz w:val="21"/>
                      <w:u w:val="single"/>
                    </w:rPr>
                    <w:t>90</w:t>
                  </w:r>
                </w:p>
              </w:tc>
            </w:tr>
          </w:tbl>
          <w:p>
            <w:pPr>
              <w:pStyle w:val="15"/>
              <w:ind w:firstLine="480" w:firstLineChars="200"/>
              <w:jc w:val="both"/>
              <w:rPr>
                <w:b w:val="0"/>
                <w:bCs/>
                <w:u w:val="single"/>
              </w:rPr>
            </w:pPr>
            <w:r>
              <w:rPr>
                <w:rFonts w:hint="eastAsia"/>
                <w:b w:val="0"/>
                <w:bCs/>
                <w:u w:val="single"/>
              </w:rPr>
              <w:t>（4）原辅材料及能源消耗</w:t>
            </w:r>
          </w:p>
          <w:p>
            <w:pPr>
              <w:pStyle w:val="15"/>
              <w:spacing w:line="240" w:lineRule="auto"/>
              <w:rPr>
                <w:sz w:val="21"/>
                <w:szCs w:val="21"/>
                <w:u w:val="single"/>
              </w:rPr>
            </w:pPr>
            <w:r>
              <w:rPr>
                <w:sz w:val="21"/>
                <w:szCs w:val="21"/>
                <w:u w:val="single"/>
              </w:rPr>
              <w:t xml:space="preserve">表 </w:t>
            </w:r>
            <w:r>
              <w:rPr>
                <w:sz w:val="21"/>
                <w:szCs w:val="21"/>
                <w:u w:val="single"/>
              </w:rPr>
              <w:fldChar w:fldCharType="begin"/>
            </w:r>
            <w:r>
              <w:rPr>
                <w:sz w:val="21"/>
                <w:szCs w:val="21"/>
                <w:u w:val="single"/>
              </w:rPr>
              <w:instrText xml:space="preserve"> STYLEREF 2 \s </w:instrText>
            </w:r>
            <w:r>
              <w:rPr>
                <w:sz w:val="21"/>
                <w:szCs w:val="21"/>
                <w:u w:val="single"/>
              </w:rPr>
              <w:fldChar w:fldCharType="separate"/>
            </w:r>
            <w:r>
              <w:rPr>
                <w:sz w:val="21"/>
                <w:szCs w:val="21"/>
                <w:u w:val="single"/>
              </w:rPr>
              <w:t>1</w:t>
            </w:r>
            <w:r>
              <w:rPr>
                <w:rFonts w:hint="eastAsia"/>
                <w:sz w:val="21"/>
                <w:szCs w:val="21"/>
                <w:u w:val="single"/>
              </w:rPr>
              <w:t>.</w:t>
            </w:r>
            <w:r>
              <w:rPr>
                <w:sz w:val="21"/>
                <w:szCs w:val="21"/>
                <w:u w:val="single"/>
              </w:rPr>
              <w:t>2</w:t>
            </w:r>
            <w:r>
              <w:rPr>
                <w:sz w:val="21"/>
                <w:szCs w:val="21"/>
                <w:u w:val="single"/>
              </w:rPr>
              <w:fldChar w:fldCharType="end"/>
            </w:r>
            <w:r>
              <w:rPr>
                <w:rFonts w:hint="eastAsia"/>
                <w:sz w:val="21"/>
                <w:szCs w:val="21"/>
                <w:u w:val="single"/>
              </w:rPr>
              <w:t>-</w:t>
            </w:r>
            <w:r>
              <w:rPr>
                <w:sz w:val="21"/>
                <w:szCs w:val="21"/>
                <w:u w:val="single"/>
              </w:rPr>
              <w:fldChar w:fldCharType="begin"/>
            </w:r>
            <w:r>
              <w:rPr>
                <w:sz w:val="21"/>
                <w:szCs w:val="21"/>
                <w:u w:val="single"/>
              </w:rPr>
              <w:instrText xml:space="preserve"> SEQ 表 \* ARABIC \s 2 </w:instrText>
            </w:r>
            <w:r>
              <w:rPr>
                <w:sz w:val="21"/>
                <w:szCs w:val="21"/>
                <w:u w:val="single"/>
              </w:rPr>
              <w:fldChar w:fldCharType="separate"/>
            </w:r>
            <w:r>
              <w:rPr>
                <w:sz w:val="21"/>
                <w:szCs w:val="21"/>
                <w:u w:val="single"/>
              </w:rPr>
              <w:t>10</w:t>
            </w:r>
            <w:r>
              <w:rPr>
                <w:sz w:val="21"/>
                <w:szCs w:val="21"/>
                <w:u w:val="single"/>
              </w:rPr>
              <w:fldChar w:fldCharType="end"/>
            </w:r>
            <w:r>
              <w:rPr>
                <w:rFonts w:hint="eastAsia"/>
                <w:sz w:val="21"/>
                <w:szCs w:val="21"/>
                <w:u w:val="single"/>
              </w:rPr>
              <w:t xml:space="preserve">  </w:t>
            </w:r>
            <w:r>
              <w:rPr>
                <w:rFonts w:cs="Times New Roman" w:eastAsiaTheme="minorEastAsia"/>
                <w:color w:val="000000" w:themeColor="text1"/>
                <w:sz w:val="21"/>
                <w:szCs w:val="21"/>
                <w:u w:val="single"/>
              </w:rPr>
              <w:t>主要原辅材料及能源消耗情况一览表</w:t>
            </w:r>
          </w:p>
          <w:tbl>
            <w:tblPr>
              <w:tblStyle w:val="3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9"/>
              <w:gridCol w:w="1183"/>
              <w:gridCol w:w="1102"/>
              <w:gridCol w:w="1062"/>
              <w:gridCol w:w="1115"/>
              <w:gridCol w:w="934"/>
              <w:gridCol w:w="934"/>
              <w:gridCol w:w="896"/>
              <w:gridCol w:w="6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序号</w:t>
                  </w:r>
                </w:p>
              </w:tc>
              <w:tc>
                <w:tcPr>
                  <w:tcW w:w="713"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原辅材料名称</w:t>
                  </w:r>
                </w:p>
              </w:tc>
              <w:tc>
                <w:tcPr>
                  <w:tcW w:w="664"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单耗量</w:t>
                  </w:r>
                </w:p>
              </w:tc>
              <w:tc>
                <w:tcPr>
                  <w:tcW w:w="639"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年耗量</w:t>
                  </w:r>
                </w:p>
              </w:tc>
              <w:tc>
                <w:tcPr>
                  <w:tcW w:w="672"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应用工序</w:t>
                  </w:r>
                </w:p>
              </w:tc>
              <w:tc>
                <w:tcPr>
                  <w:tcW w:w="563"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主要成分说明</w:t>
                  </w:r>
                </w:p>
              </w:tc>
              <w:tc>
                <w:tcPr>
                  <w:tcW w:w="563"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最大储存量</w:t>
                  </w:r>
                </w:p>
              </w:tc>
              <w:tc>
                <w:tcPr>
                  <w:tcW w:w="540"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储存位置和方式</w:t>
                  </w:r>
                </w:p>
              </w:tc>
              <w:tc>
                <w:tcPr>
                  <w:tcW w:w="383"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1</w:t>
                  </w:r>
                </w:p>
              </w:tc>
              <w:tc>
                <w:tcPr>
                  <w:tcW w:w="713" w:type="pct"/>
                  <w:vAlign w:val="center"/>
                </w:tcPr>
                <w:p>
                  <w:pPr>
                    <w:pStyle w:val="125"/>
                    <w:adjustRightInd w:val="0"/>
                    <w:snapToGrid w:val="0"/>
                    <w:jc w:val="center"/>
                    <w:rPr>
                      <w:rFonts w:eastAsiaTheme="minorEastAsia"/>
                      <w:color w:val="000000" w:themeColor="text1"/>
                      <w:sz w:val="21"/>
                      <w:szCs w:val="21"/>
                      <w:u w:val="single"/>
                    </w:rPr>
                  </w:pPr>
                  <w:r>
                    <w:rPr>
                      <w:rFonts w:eastAsiaTheme="minorEastAsia"/>
                      <w:color w:val="000000" w:themeColor="text1"/>
                      <w:sz w:val="21"/>
                      <w:szCs w:val="21"/>
                      <w:u w:val="single"/>
                    </w:rPr>
                    <w:t>水泥</w:t>
                  </w:r>
                </w:p>
              </w:tc>
              <w:tc>
                <w:tcPr>
                  <w:tcW w:w="664" w:type="pct"/>
                  <w:vAlign w:val="center"/>
                </w:tcPr>
                <w:p>
                  <w:pPr>
                    <w:pStyle w:val="125"/>
                    <w:adjustRightInd w:val="0"/>
                    <w:snapToGrid w:val="0"/>
                    <w:jc w:val="center"/>
                    <w:rPr>
                      <w:rFonts w:eastAsiaTheme="minorEastAsia"/>
                      <w:color w:val="000000" w:themeColor="text1"/>
                      <w:sz w:val="21"/>
                      <w:szCs w:val="21"/>
                      <w:u w:val="single"/>
                    </w:rPr>
                  </w:pPr>
                  <w:r>
                    <w:rPr>
                      <w:rFonts w:eastAsiaTheme="minorEastAsia"/>
                      <w:color w:val="000000" w:themeColor="text1"/>
                      <w:sz w:val="21"/>
                      <w:szCs w:val="21"/>
                      <w:u w:val="single"/>
                    </w:rPr>
                    <w:t>0.2</w:t>
                  </w:r>
                  <w:r>
                    <w:rPr>
                      <w:rFonts w:hint="eastAsia" w:eastAsiaTheme="minorEastAsia"/>
                      <w:color w:val="000000" w:themeColor="text1"/>
                      <w:sz w:val="21"/>
                      <w:szCs w:val="21"/>
                      <w:u w:val="single"/>
                      <w:lang w:val="en-US" w:eastAsia="zh-CN"/>
                    </w:rPr>
                    <w:t>5</w:t>
                  </w:r>
                  <w:r>
                    <w:rPr>
                      <w:rFonts w:eastAsiaTheme="minorEastAsia"/>
                      <w:color w:val="000000" w:themeColor="text1"/>
                      <w:sz w:val="21"/>
                      <w:szCs w:val="21"/>
                      <w:u w:val="single"/>
                    </w:rPr>
                    <w:t>t</w:t>
                  </w:r>
                </w:p>
              </w:tc>
              <w:tc>
                <w:tcPr>
                  <w:tcW w:w="639" w:type="pct"/>
                  <w:vAlign w:val="center"/>
                </w:tcPr>
                <w:p>
                  <w:pPr>
                    <w:adjustRightInd w:val="0"/>
                    <w:snapToGrid w:val="0"/>
                    <w:jc w:val="center"/>
                    <w:rPr>
                      <w:rFonts w:cs="Times New Roman"/>
                      <w:color w:val="000000" w:themeColor="text1"/>
                      <w:sz w:val="21"/>
                      <w:szCs w:val="21"/>
                      <w:u w:val="single"/>
                    </w:rPr>
                  </w:pPr>
                  <w:r>
                    <w:rPr>
                      <w:rFonts w:hint="eastAsia" w:cs="Times New Roman"/>
                      <w:color w:val="000000" w:themeColor="text1"/>
                      <w:sz w:val="21"/>
                      <w:szCs w:val="21"/>
                      <w:u w:val="single"/>
                      <w:lang w:val="en-US" w:eastAsia="zh-CN"/>
                    </w:rPr>
                    <w:t>22.5</w:t>
                  </w:r>
                  <w:r>
                    <w:rPr>
                      <w:rFonts w:cs="Times New Roman"/>
                      <w:color w:val="000000" w:themeColor="text1"/>
                      <w:sz w:val="21"/>
                      <w:szCs w:val="21"/>
                      <w:u w:val="single"/>
                    </w:rPr>
                    <w:t>万t</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输送搅拌</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水泥熟料</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1000t</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粉料罐密闭储存</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2</w:t>
                  </w:r>
                </w:p>
              </w:tc>
              <w:tc>
                <w:tcPr>
                  <w:tcW w:w="713" w:type="pct"/>
                  <w:vAlign w:val="center"/>
                </w:tcPr>
                <w:p>
                  <w:pPr>
                    <w:pStyle w:val="63"/>
                    <w:adjustRightInd w:val="0"/>
                    <w:snapToGrid w:val="0"/>
                    <w:spacing w:line="240" w:lineRule="auto"/>
                    <w:rPr>
                      <w:rFonts w:eastAsiaTheme="minorEastAsia"/>
                      <w:color w:val="000000" w:themeColor="text1"/>
                      <w:sz w:val="21"/>
                      <w:szCs w:val="21"/>
                      <w:u w:val="single"/>
                    </w:rPr>
                  </w:pPr>
                  <w:r>
                    <w:rPr>
                      <w:rFonts w:eastAsiaTheme="minorEastAsia"/>
                      <w:color w:val="000000" w:themeColor="text1"/>
                      <w:sz w:val="21"/>
                      <w:szCs w:val="21"/>
                      <w:u w:val="single"/>
                    </w:rPr>
                    <w:t>砂子</w:t>
                  </w:r>
                </w:p>
              </w:tc>
              <w:tc>
                <w:tcPr>
                  <w:tcW w:w="664" w:type="pct"/>
                  <w:vAlign w:val="center"/>
                </w:tcPr>
                <w:p>
                  <w:pPr>
                    <w:pStyle w:val="63"/>
                    <w:adjustRightInd w:val="0"/>
                    <w:snapToGrid w:val="0"/>
                    <w:spacing w:line="240" w:lineRule="auto"/>
                    <w:rPr>
                      <w:rFonts w:eastAsiaTheme="minorEastAsia"/>
                      <w:color w:val="000000" w:themeColor="text1"/>
                      <w:sz w:val="21"/>
                      <w:szCs w:val="21"/>
                      <w:u w:val="single"/>
                    </w:rPr>
                  </w:pPr>
                  <w:r>
                    <w:rPr>
                      <w:rFonts w:eastAsiaTheme="minorEastAsia"/>
                      <w:color w:val="000000" w:themeColor="text1"/>
                      <w:sz w:val="21"/>
                      <w:szCs w:val="21"/>
                      <w:u w:val="single"/>
                    </w:rPr>
                    <w:t>1t</w:t>
                  </w:r>
                </w:p>
              </w:tc>
              <w:tc>
                <w:tcPr>
                  <w:tcW w:w="639" w:type="pct"/>
                  <w:vAlign w:val="center"/>
                </w:tcPr>
                <w:p>
                  <w:pPr>
                    <w:adjustRightInd w:val="0"/>
                    <w:snapToGrid w:val="0"/>
                    <w:jc w:val="center"/>
                    <w:rPr>
                      <w:rFonts w:cs="Times New Roman"/>
                      <w:color w:val="000000" w:themeColor="text1"/>
                      <w:sz w:val="21"/>
                      <w:szCs w:val="21"/>
                      <w:u w:val="single"/>
                    </w:rPr>
                  </w:pPr>
                  <w:r>
                    <w:rPr>
                      <w:rFonts w:hint="eastAsia" w:cs="Times New Roman"/>
                      <w:color w:val="000000" w:themeColor="text1"/>
                      <w:sz w:val="21"/>
                      <w:szCs w:val="21"/>
                      <w:u w:val="single"/>
                      <w:lang w:val="en-US" w:eastAsia="zh-CN"/>
                    </w:rPr>
                    <w:t>90</w:t>
                  </w:r>
                  <w:r>
                    <w:rPr>
                      <w:rFonts w:cs="Times New Roman"/>
                      <w:color w:val="000000" w:themeColor="text1"/>
                      <w:sz w:val="21"/>
                      <w:szCs w:val="21"/>
                      <w:u w:val="single"/>
                    </w:rPr>
                    <w:t>万t</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输送搅拌</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碳酸钙</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6000t</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堆棚遮阳储存</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3</w:t>
                  </w:r>
                </w:p>
              </w:tc>
              <w:tc>
                <w:tcPr>
                  <w:tcW w:w="713"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碎石</w:t>
                  </w:r>
                </w:p>
              </w:tc>
              <w:tc>
                <w:tcPr>
                  <w:tcW w:w="664"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0.</w:t>
                  </w:r>
                  <w:r>
                    <w:rPr>
                      <w:rFonts w:hint="eastAsia" w:cs="Times New Roman"/>
                      <w:bCs/>
                      <w:color w:val="000000" w:themeColor="text1"/>
                      <w:sz w:val="21"/>
                      <w:szCs w:val="21"/>
                      <w:u w:val="single"/>
                      <w:lang w:val="en-US" w:eastAsia="zh-CN"/>
                    </w:rPr>
                    <w:t>9</w:t>
                  </w:r>
                  <w:r>
                    <w:rPr>
                      <w:rFonts w:cs="Times New Roman"/>
                      <w:bCs/>
                      <w:color w:val="000000" w:themeColor="text1"/>
                      <w:sz w:val="21"/>
                      <w:szCs w:val="21"/>
                      <w:u w:val="single"/>
                    </w:rPr>
                    <w:t>t</w:t>
                  </w:r>
                </w:p>
              </w:tc>
              <w:tc>
                <w:tcPr>
                  <w:tcW w:w="639" w:type="pct"/>
                  <w:vAlign w:val="center"/>
                </w:tcPr>
                <w:p>
                  <w:pPr>
                    <w:adjustRightInd w:val="0"/>
                    <w:snapToGrid w:val="0"/>
                    <w:jc w:val="center"/>
                    <w:rPr>
                      <w:rFonts w:cs="Times New Roman"/>
                      <w:color w:val="000000" w:themeColor="text1"/>
                      <w:sz w:val="21"/>
                      <w:szCs w:val="21"/>
                      <w:u w:val="single"/>
                    </w:rPr>
                  </w:pPr>
                  <w:r>
                    <w:rPr>
                      <w:rFonts w:hint="eastAsia" w:cs="Times New Roman"/>
                      <w:color w:val="000000" w:themeColor="text1"/>
                      <w:sz w:val="21"/>
                      <w:szCs w:val="21"/>
                      <w:u w:val="single"/>
                      <w:lang w:val="en-US" w:eastAsia="zh-CN"/>
                    </w:rPr>
                    <w:t>82</w:t>
                  </w:r>
                  <w:r>
                    <w:rPr>
                      <w:rFonts w:cs="Times New Roman"/>
                      <w:color w:val="000000" w:themeColor="text1"/>
                      <w:sz w:val="21"/>
                      <w:szCs w:val="21"/>
                      <w:u w:val="single"/>
                    </w:rPr>
                    <w:t>万t</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输送搅拌</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碳酸钙</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6000t</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堆棚遮阳储存</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4</w:t>
                  </w:r>
                </w:p>
              </w:tc>
              <w:tc>
                <w:tcPr>
                  <w:tcW w:w="713" w:type="pct"/>
                  <w:vAlign w:val="center"/>
                </w:tcPr>
                <w:p>
                  <w:pPr>
                    <w:adjustRightInd w:val="0"/>
                    <w:snapToGrid w:val="0"/>
                    <w:jc w:val="center"/>
                    <w:rPr>
                      <w:rFonts w:cs="Times New Roman"/>
                      <w:color w:val="000000" w:themeColor="text1"/>
                      <w:sz w:val="21"/>
                      <w:szCs w:val="21"/>
                      <w:u w:val="single"/>
                    </w:rPr>
                  </w:pPr>
                  <w:r>
                    <w:rPr>
                      <w:rFonts w:cs="Times New Roman"/>
                      <w:bCs/>
                      <w:color w:val="000000" w:themeColor="text1"/>
                      <w:sz w:val="21"/>
                      <w:szCs w:val="21"/>
                      <w:u w:val="single"/>
                    </w:rPr>
                    <w:t>粉煤灰</w:t>
                  </w:r>
                </w:p>
              </w:tc>
              <w:tc>
                <w:tcPr>
                  <w:tcW w:w="664" w:type="pct"/>
                  <w:vAlign w:val="center"/>
                </w:tcPr>
                <w:p>
                  <w:pPr>
                    <w:adjustRightInd w:val="0"/>
                    <w:snapToGrid w:val="0"/>
                    <w:jc w:val="center"/>
                    <w:rPr>
                      <w:rFonts w:cs="Times New Roman"/>
                      <w:color w:val="000000" w:themeColor="text1"/>
                      <w:sz w:val="21"/>
                      <w:szCs w:val="21"/>
                      <w:u w:val="single"/>
                    </w:rPr>
                  </w:pPr>
                  <w:r>
                    <w:rPr>
                      <w:rFonts w:cs="Times New Roman"/>
                      <w:bCs/>
                      <w:color w:val="000000" w:themeColor="text1"/>
                      <w:sz w:val="21"/>
                      <w:szCs w:val="21"/>
                      <w:u w:val="single"/>
                    </w:rPr>
                    <w:t>0.</w:t>
                  </w:r>
                  <w:r>
                    <w:rPr>
                      <w:rFonts w:hint="eastAsia" w:cs="Times New Roman"/>
                      <w:bCs/>
                      <w:color w:val="000000" w:themeColor="text1"/>
                      <w:sz w:val="21"/>
                      <w:szCs w:val="21"/>
                      <w:u w:val="single"/>
                      <w:lang w:val="en-US" w:eastAsia="zh-CN"/>
                    </w:rPr>
                    <w:t>05</w:t>
                  </w:r>
                  <w:r>
                    <w:rPr>
                      <w:rFonts w:cs="Times New Roman"/>
                      <w:bCs/>
                      <w:color w:val="000000" w:themeColor="text1"/>
                      <w:sz w:val="21"/>
                      <w:szCs w:val="21"/>
                      <w:u w:val="single"/>
                    </w:rPr>
                    <w:t>t</w:t>
                  </w:r>
                </w:p>
              </w:tc>
              <w:tc>
                <w:tcPr>
                  <w:tcW w:w="639" w:type="pct"/>
                  <w:vAlign w:val="center"/>
                </w:tcPr>
                <w:p>
                  <w:pPr>
                    <w:adjustRightInd w:val="0"/>
                    <w:snapToGrid w:val="0"/>
                    <w:jc w:val="center"/>
                    <w:rPr>
                      <w:rFonts w:cs="Times New Roman"/>
                      <w:color w:val="000000" w:themeColor="text1"/>
                      <w:sz w:val="21"/>
                      <w:szCs w:val="21"/>
                      <w:u w:val="single"/>
                    </w:rPr>
                  </w:pPr>
                  <w:r>
                    <w:rPr>
                      <w:rFonts w:hint="eastAsia" w:cs="Times New Roman"/>
                      <w:color w:val="000000" w:themeColor="text1"/>
                      <w:sz w:val="21"/>
                      <w:szCs w:val="21"/>
                      <w:u w:val="single"/>
                      <w:lang w:val="en-US" w:eastAsia="zh-CN"/>
                    </w:rPr>
                    <w:t>4.5</w:t>
                  </w:r>
                  <w:r>
                    <w:rPr>
                      <w:rFonts w:cs="Times New Roman"/>
                      <w:color w:val="000000" w:themeColor="text1"/>
                      <w:sz w:val="21"/>
                      <w:szCs w:val="21"/>
                      <w:u w:val="single"/>
                    </w:rPr>
                    <w:t>万t</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输送搅拌</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煤炭燃烧产物</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400t</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粉料罐密闭储存</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5</w:t>
                  </w:r>
                </w:p>
              </w:tc>
              <w:tc>
                <w:tcPr>
                  <w:tcW w:w="713" w:type="pct"/>
                  <w:vAlign w:val="center"/>
                </w:tcPr>
                <w:p>
                  <w:pPr>
                    <w:adjustRightInd w:val="0"/>
                    <w:snapToGrid w:val="0"/>
                    <w:jc w:val="center"/>
                    <w:rPr>
                      <w:rFonts w:cs="Times New Roman"/>
                      <w:color w:val="000000" w:themeColor="text1"/>
                      <w:sz w:val="21"/>
                      <w:szCs w:val="21"/>
                      <w:u w:val="single"/>
                    </w:rPr>
                  </w:pPr>
                  <w:r>
                    <w:rPr>
                      <w:rFonts w:cs="Times New Roman"/>
                      <w:bCs/>
                      <w:color w:val="000000" w:themeColor="text1"/>
                      <w:sz w:val="21"/>
                      <w:szCs w:val="21"/>
                      <w:u w:val="single"/>
                    </w:rPr>
                    <w:t>矿粉</w:t>
                  </w:r>
                </w:p>
              </w:tc>
              <w:tc>
                <w:tcPr>
                  <w:tcW w:w="664" w:type="pct"/>
                  <w:vAlign w:val="center"/>
                </w:tcPr>
                <w:p>
                  <w:pPr>
                    <w:adjustRightInd w:val="0"/>
                    <w:snapToGrid w:val="0"/>
                    <w:jc w:val="center"/>
                    <w:rPr>
                      <w:rFonts w:cs="Times New Roman"/>
                      <w:color w:val="000000" w:themeColor="text1"/>
                      <w:sz w:val="21"/>
                      <w:szCs w:val="21"/>
                      <w:u w:val="single"/>
                    </w:rPr>
                  </w:pPr>
                  <w:r>
                    <w:rPr>
                      <w:rFonts w:cs="Times New Roman"/>
                      <w:bCs/>
                      <w:color w:val="000000" w:themeColor="text1"/>
                      <w:sz w:val="21"/>
                      <w:szCs w:val="21"/>
                      <w:u w:val="single"/>
                    </w:rPr>
                    <w:t>0.</w:t>
                  </w:r>
                  <w:r>
                    <w:rPr>
                      <w:rFonts w:hint="eastAsia" w:cs="Times New Roman"/>
                      <w:bCs/>
                      <w:color w:val="000000" w:themeColor="text1"/>
                      <w:sz w:val="21"/>
                      <w:szCs w:val="21"/>
                      <w:u w:val="single"/>
                      <w:lang w:val="en-US" w:eastAsia="zh-CN"/>
                    </w:rPr>
                    <w:t>0</w:t>
                  </w:r>
                  <w:r>
                    <w:rPr>
                      <w:rFonts w:cs="Times New Roman"/>
                      <w:bCs/>
                      <w:color w:val="000000" w:themeColor="text1"/>
                      <w:sz w:val="21"/>
                      <w:szCs w:val="21"/>
                      <w:u w:val="single"/>
                    </w:rPr>
                    <w:t>5t</w:t>
                  </w:r>
                </w:p>
              </w:tc>
              <w:tc>
                <w:tcPr>
                  <w:tcW w:w="639" w:type="pct"/>
                  <w:vAlign w:val="center"/>
                </w:tcPr>
                <w:p>
                  <w:pPr>
                    <w:adjustRightInd w:val="0"/>
                    <w:snapToGrid w:val="0"/>
                    <w:jc w:val="center"/>
                    <w:rPr>
                      <w:rFonts w:cs="Times New Roman"/>
                      <w:color w:val="000000" w:themeColor="text1"/>
                      <w:sz w:val="21"/>
                      <w:szCs w:val="21"/>
                      <w:u w:val="single"/>
                    </w:rPr>
                  </w:pPr>
                  <w:r>
                    <w:rPr>
                      <w:rFonts w:hint="eastAsia" w:cs="Times New Roman"/>
                      <w:color w:val="000000" w:themeColor="text1"/>
                      <w:sz w:val="21"/>
                      <w:szCs w:val="21"/>
                      <w:u w:val="single"/>
                      <w:lang w:val="en-US" w:eastAsia="zh-CN"/>
                    </w:rPr>
                    <w:t>4.5</w:t>
                  </w:r>
                  <w:r>
                    <w:rPr>
                      <w:rFonts w:cs="Times New Roman"/>
                      <w:color w:val="000000" w:themeColor="text1"/>
                      <w:sz w:val="21"/>
                      <w:szCs w:val="21"/>
                      <w:u w:val="single"/>
                    </w:rPr>
                    <w:t>万t</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输送搅拌</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矿渣粉</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500t</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粉料罐密闭储存</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6</w:t>
                  </w:r>
                </w:p>
              </w:tc>
              <w:tc>
                <w:tcPr>
                  <w:tcW w:w="713" w:type="pct"/>
                  <w:vAlign w:val="center"/>
                </w:tcPr>
                <w:p>
                  <w:pPr>
                    <w:pStyle w:val="63"/>
                    <w:adjustRightInd w:val="0"/>
                    <w:snapToGrid w:val="0"/>
                    <w:spacing w:line="240" w:lineRule="auto"/>
                    <w:rPr>
                      <w:rFonts w:eastAsiaTheme="minorEastAsia"/>
                      <w:color w:val="000000" w:themeColor="text1"/>
                      <w:sz w:val="21"/>
                      <w:szCs w:val="21"/>
                      <w:u w:val="single"/>
                    </w:rPr>
                  </w:pPr>
                  <w:r>
                    <w:rPr>
                      <w:rFonts w:eastAsiaTheme="minorEastAsia"/>
                      <w:bCs/>
                      <w:color w:val="000000" w:themeColor="text1"/>
                      <w:sz w:val="21"/>
                      <w:szCs w:val="21"/>
                      <w:u w:val="single"/>
                    </w:rPr>
                    <w:t>外加剂</w:t>
                  </w:r>
                </w:p>
              </w:tc>
              <w:tc>
                <w:tcPr>
                  <w:tcW w:w="664" w:type="pct"/>
                  <w:vAlign w:val="center"/>
                </w:tcPr>
                <w:p>
                  <w:pPr>
                    <w:adjustRightInd w:val="0"/>
                    <w:snapToGrid w:val="0"/>
                    <w:jc w:val="center"/>
                    <w:rPr>
                      <w:rFonts w:cs="Times New Roman"/>
                      <w:color w:val="000000" w:themeColor="text1"/>
                      <w:sz w:val="21"/>
                      <w:szCs w:val="21"/>
                      <w:u w:val="single"/>
                    </w:rPr>
                  </w:pPr>
                  <w:r>
                    <w:rPr>
                      <w:rFonts w:cs="Times New Roman"/>
                      <w:bCs/>
                      <w:color w:val="000000" w:themeColor="text1"/>
                      <w:sz w:val="21"/>
                      <w:szCs w:val="21"/>
                      <w:u w:val="single"/>
                    </w:rPr>
                    <w:t>0.0064t</w:t>
                  </w:r>
                </w:p>
              </w:tc>
              <w:tc>
                <w:tcPr>
                  <w:tcW w:w="63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0.9万t</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输送搅拌</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聚羧酸</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80t</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PE塑料罐密闭储存</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7</w:t>
                  </w:r>
                </w:p>
              </w:tc>
              <w:tc>
                <w:tcPr>
                  <w:tcW w:w="713" w:type="pct"/>
                  <w:vAlign w:val="center"/>
                </w:tcPr>
                <w:p>
                  <w:pPr>
                    <w:spacing w:line="320" w:lineRule="exact"/>
                    <w:jc w:val="center"/>
                    <w:rPr>
                      <w:rFonts w:cs="Times New Roman"/>
                      <w:color w:val="000000" w:themeColor="text1"/>
                      <w:sz w:val="21"/>
                      <w:szCs w:val="21"/>
                      <w:u w:val="single"/>
                    </w:rPr>
                  </w:pPr>
                  <w:r>
                    <w:rPr>
                      <w:rFonts w:cs="Times New Roman"/>
                      <w:color w:val="000000" w:themeColor="text1"/>
                      <w:sz w:val="21"/>
                      <w:szCs w:val="21"/>
                      <w:u w:val="single"/>
                    </w:rPr>
                    <w:t>润滑油</w:t>
                  </w:r>
                </w:p>
              </w:tc>
              <w:tc>
                <w:tcPr>
                  <w:tcW w:w="664"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0.01</w:t>
                  </w:r>
                </w:p>
              </w:tc>
              <w:tc>
                <w:tcPr>
                  <w:tcW w:w="63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0.1t</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机械</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油类</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0.01</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桶装</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8</w:t>
                  </w:r>
                </w:p>
              </w:tc>
              <w:tc>
                <w:tcPr>
                  <w:tcW w:w="713" w:type="pct"/>
                  <w:vAlign w:val="center"/>
                </w:tcPr>
                <w:p>
                  <w:pPr>
                    <w:spacing w:line="320" w:lineRule="exact"/>
                    <w:jc w:val="center"/>
                    <w:rPr>
                      <w:rFonts w:cs="Times New Roman"/>
                      <w:color w:val="000000" w:themeColor="text1"/>
                      <w:sz w:val="21"/>
                      <w:szCs w:val="21"/>
                      <w:u w:val="single"/>
                    </w:rPr>
                  </w:pPr>
                  <w:r>
                    <w:rPr>
                      <w:rFonts w:cs="Times New Roman"/>
                      <w:color w:val="000000" w:themeColor="text1"/>
                      <w:sz w:val="21"/>
                      <w:szCs w:val="21"/>
                      <w:u w:val="single"/>
                    </w:rPr>
                    <w:t>柴油</w:t>
                  </w:r>
                </w:p>
              </w:tc>
              <w:tc>
                <w:tcPr>
                  <w:tcW w:w="664" w:type="pct"/>
                  <w:vAlign w:val="center"/>
                </w:tcPr>
                <w:p>
                  <w:pPr>
                    <w:adjustRightInd w:val="0"/>
                    <w:snapToGrid w:val="0"/>
                    <w:jc w:val="center"/>
                    <w:rPr>
                      <w:rFonts w:cs="Times New Roman"/>
                      <w:bCs/>
                      <w:color w:val="000000" w:themeColor="text1"/>
                      <w:sz w:val="21"/>
                      <w:szCs w:val="21"/>
                      <w:u w:val="single"/>
                    </w:rPr>
                  </w:pPr>
                  <w:r>
                    <w:rPr>
                      <w:rFonts w:cs="Times New Roman"/>
                      <w:bCs/>
                      <w:color w:val="000000" w:themeColor="text1"/>
                      <w:sz w:val="21"/>
                      <w:szCs w:val="21"/>
                      <w:u w:val="single"/>
                    </w:rPr>
                    <w:t>0.001</w:t>
                  </w:r>
                </w:p>
              </w:tc>
              <w:tc>
                <w:tcPr>
                  <w:tcW w:w="63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0.2t</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车辆</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油类</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0.01</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桶装</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9</w:t>
                  </w:r>
                </w:p>
              </w:tc>
              <w:tc>
                <w:tcPr>
                  <w:tcW w:w="71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水</w:t>
                  </w:r>
                </w:p>
              </w:tc>
              <w:tc>
                <w:tcPr>
                  <w:tcW w:w="664" w:type="pct"/>
                  <w:vAlign w:val="center"/>
                </w:tcPr>
                <w:p>
                  <w:pPr>
                    <w:adjustRightInd w:val="0"/>
                    <w:snapToGrid w:val="0"/>
                    <w:jc w:val="center"/>
                    <w:rPr>
                      <w:rFonts w:cs="Times New Roman"/>
                      <w:color w:val="000000" w:themeColor="text1"/>
                      <w:sz w:val="21"/>
                      <w:szCs w:val="21"/>
                      <w:u w:val="single"/>
                    </w:rPr>
                  </w:pPr>
                  <w:r>
                    <w:rPr>
                      <w:rFonts w:hint="eastAsia" w:cs="Times New Roman"/>
                      <w:color w:val="000000" w:themeColor="text1"/>
                      <w:sz w:val="21"/>
                      <w:szCs w:val="21"/>
                      <w:u w:val="single"/>
                    </w:rPr>
                    <w:t>/</w:t>
                  </w:r>
                </w:p>
              </w:tc>
              <w:tc>
                <w:tcPr>
                  <w:tcW w:w="639" w:type="pct"/>
                  <w:vAlign w:val="center"/>
                </w:tcPr>
                <w:p>
                  <w:pPr>
                    <w:adjustRightInd w:val="0"/>
                    <w:snapToGrid w:val="0"/>
                    <w:jc w:val="center"/>
                    <w:rPr>
                      <w:rFonts w:cs="Times New Roman"/>
                      <w:color w:val="000000" w:themeColor="text1"/>
                      <w:sz w:val="21"/>
                      <w:szCs w:val="21"/>
                      <w:u w:val="single"/>
                    </w:rPr>
                  </w:pPr>
                  <w:r>
                    <w:rPr>
                      <w:rFonts w:hint="eastAsia" w:cs="Times New Roman"/>
                      <w:color w:val="000000" w:themeColor="text1"/>
                      <w:sz w:val="21"/>
                      <w:szCs w:val="21"/>
                      <w:u w:val="single"/>
                    </w:rPr>
                    <w:t>138859.8</w:t>
                  </w:r>
                  <w:r>
                    <w:rPr>
                      <w:rFonts w:cs="Times New Roman"/>
                      <w:color w:val="000000" w:themeColor="text1"/>
                      <w:sz w:val="21"/>
                      <w:szCs w:val="21"/>
                      <w:u w:val="single"/>
                    </w:rPr>
                    <w:t>t</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自来水管网、回收用水</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59"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10</w:t>
                  </w:r>
                </w:p>
              </w:tc>
              <w:tc>
                <w:tcPr>
                  <w:tcW w:w="71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电</w:t>
                  </w:r>
                </w:p>
              </w:tc>
              <w:tc>
                <w:tcPr>
                  <w:tcW w:w="664" w:type="pct"/>
                  <w:vAlign w:val="center"/>
                </w:tcPr>
                <w:p>
                  <w:pPr>
                    <w:adjustRightInd w:val="0"/>
                    <w:snapToGrid w:val="0"/>
                    <w:jc w:val="center"/>
                    <w:rPr>
                      <w:rFonts w:cs="Times New Roman"/>
                      <w:color w:val="000000" w:themeColor="text1"/>
                      <w:sz w:val="21"/>
                      <w:szCs w:val="21"/>
                      <w:u w:val="single"/>
                    </w:rPr>
                  </w:pPr>
                  <w:r>
                    <w:rPr>
                      <w:rFonts w:hint="eastAsia" w:cs="Times New Roman"/>
                      <w:bCs/>
                      <w:color w:val="000000" w:themeColor="text1"/>
                      <w:sz w:val="21"/>
                      <w:szCs w:val="21"/>
                      <w:u w:val="single"/>
                    </w:rPr>
                    <w:t>/</w:t>
                  </w:r>
                </w:p>
              </w:tc>
              <w:tc>
                <w:tcPr>
                  <w:tcW w:w="639" w:type="pct"/>
                  <w:vAlign w:val="center"/>
                </w:tcPr>
                <w:p>
                  <w:pPr>
                    <w:adjustRightInd w:val="0"/>
                    <w:snapToGrid w:val="0"/>
                    <w:jc w:val="center"/>
                    <w:rPr>
                      <w:rFonts w:cs="Times New Roman"/>
                      <w:color w:val="000000" w:themeColor="text1"/>
                      <w:sz w:val="21"/>
                      <w:szCs w:val="21"/>
                      <w:u w:val="single"/>
                    </w:rPr>
                  </w:pPr>
                  <w:r>
                    <w:rPr>
                      <w:rFonts w:cs="Times New Roman"/>
                      <w:bCs/>
                      <w:color w:val="000000" w:themeColor="text1"/>
                      <w:sz w:val="21"/>
                      <w:szCs w:val="21"/>
                      <w:u w:val="single"/>
                    </w:rPr>
                    <w:t>40万kwh</w:t>
                  </w:r>
                </w:p>
              </w:tc>
              <w:tc>
                <w:tcPr>
                  <w:tcW w:w="672"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w:t>
                  </w:r>
                </w:p>
              </w:tc>
              <w:tc>
                <w:tcPr>
                  <w:tcW w:w="56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w:t>
                  </w:r>
                </w:p>
              </w:tc>
              <w:tc>
                <w:tcPr>
                  <w:tcW w:w="540"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w:t>
                  </w:r>
                </w:p>
              </w:tc>
              <w:tc>
                <w:tcPr>
                  <w:tcW w:w="383" w:type="pct"/>
                  <w:vAlign w:val="center"/>
                </w:tcPr>
                <w:p>
                  <w:pPr>
                    <w:adjustRightInd w:val="0"/>
                    <w:snapToGrid w:val="0"/>
                    <w:jc w:val="center"/>
                    <w:rPr>
                      <w:rFonts w:cs="Times New Roman"/>
                      <w:color w:val="000000" w:themeColor="text1"/>
                      <w:sz w:val="21"/>
                      <w:szCs w:val="21"/>
                      <w:u w:val="single"/>
                    </w:rPr>
                  </w:pPr>
                  <w:r>
                    <w:rPr>
                      <w:rFonts w:cs="Times New Roman"/>
                      <w:color w:val="000000" w:themeColor="text1"/>
                      <w:sz w:val="21"/>
                      <w:szCs w:val="21"/>
                      <w:u w:val="single"/>
                    </w:rPr>
                    <w:t>/</w:t>
                  </w:r>
                </w:p>
              </w:tc>
            </w:tr>
          </w:tbl>
          <w:p>
            <w:pPr>
              <w:numPr>
                <w:ilvl w:val="0"/>
                <w:numId w:val="4"/>
              </w:numPr>
              <w:adjustRightInd w:val="0"/>
              <w:snapToGrid w:val="0"/>
              <w:spacing w:line="360" w:lineRule="auto"/>
              <w:ind w:firstLine="480" w:firstLineChars="200"/>
            </w:pPr>
            <w:r>
              <w:rPr>
                <w:rFonts w:cs="Times New Roman"/>
              </w:rPr>
              <w:t>生产工艺</w:t>
            </w:r>
          </w:p>
          <w:p>
            <w:pPr>
              <w:pStyle w:val="2"/>
              <w:adjustRightInd w:val="0"/>
              <w:snapToGrid w:val="0"/>
              <w:spacing w:after="0" w:line="360" w:lineRule="auto"/>
              <w:ind w:firstLine="480" w:firstLineChars="200"/>
            </w:pPr>
            <w:r>
              <w:rPr>
                <w:rFonts w:hint="eastAsia"/>
              </w:rPr>
              <w:t>生产工艺流程图见下图所示。</w:t>
            </w:r>
          </w:p>
          <w:p>
            <w:pPr>
              <w:adjustRightInd w:val="0"/>
              <w:snapToGrid w:val="0"/>
              <w:spacing w:line="360" w:lineRule="auto"/>
              <w:ind w:firstLine="480" w:firstLineChars="200"/>
              <w:jc w:val="center"/>
              <w:rPr>
                <w:rFonts w:cs="Times New Roman"/>
              </w:rPr>
            </w:pPr>
            <w:r>
              <w:rPr>
                <w:rFonts w:cs="Times New Roman"/>
              </w:rPr>
              <w:object>
                <v:shape id="_x0000_i1026" o:spt="75" type="#_x0000_t75" style="height:288.75pt;width:336pt;" o:ole="t" filled="f" o:preferrelative="t" stroked="f" coordsize="21600,21600">
                  <v:path/>
                  <v:fill on="f" focussize="0,0"/>
                  <v:stroke on="f" joinstyle="miter"/>
                  <v:imagedata r:id="rId10" o:title=""/>
                  <o:lock v:ext="edit" aspectratio="t"/>
                  <w10:wrap type="none"/>
                  <w10:anchorlock/>
                </v:shape>
                <o:OLEObject Type="Embed" ProgID="Visio.Drawing.11" ShapeID="_x0000_i1026" DrawAspect="Content" ObjectID="_1468075726" r:id="rId9">
                  <o:LockedField>false</o:LockedField>
                </o:OLEObject>
              </w:object>
            </w:r>
          </w:p>
          <w:p>
            <w:pPr>
              <w:spacing w:line="360" w:lineRule="auto"/>
              <w:ind w:firstLine="482" w:firstLineChars="200"/>
              <w:jc w:val="center"/>
              <w:rPr>
                <w:b/>
                <w:bCs/>
              </w:rPr>
            </w:pPr>
            <w:r>
              <w:rPr>
                <w:rFonts w:hint="eastAsia"/>
                <w:b/>
                <w:bCs/>
              </w:rPr>
              <w:t>图1.2-1  原有项目生产工艺流程及产排污图</w:t>
            </w:r>
          </w:p>
          <w:p>
            <w:pPr>
              <w:spacing w:line="360" w:lineRule="auto"/>
              <w:ind w:firstLine="480" w:firstLineChars="200"/>
              <w:rPr>
                <w:rFonts w:eastAsia="宋体" w:cs="Times New Roman"/>
              </w:rPr>
            </w:pPr>
            <w:r>
              <w:rPr>
                <w:rFonts w:hint="eastAsia" w:eastAsia="宋体" w:cs="Times New Roman"/>
              </w:rPr>
              <w:t>工艺流程说明：</w:t>
            </w:r>
          </w:p>
          <w:p>
            <w:pPr>
              <w:spacing w:line="360" w:lineRule="auto"/>
              <w:ind w:firstLine="480" w:firstLineChars="200"/>
              <w:rPr>
                <w:rFonts w:eastAsia="Calibri" w:cs="Times New Roman"/>
              </w:rPr>
            </w:pPr>
            <w:r>
              <w:rPr>
                <w:rFonts w:eastAsia="Calibri" w:cs="Times New Roman"/>
              </w:rPr>
              <w:t>1）原料进厂储备及制备</w:t>
            </w:r>
          </w:p>
          <w:p>
            <w:pPr>
              <w:spacing w:line="360" w:lineRule="auto"/>
              <w:ind w:firstLine="480" w:firstLineChars="200"/>
              <w:rPr>
                <w:rFonts w:eastAsia="Calibri" w:cs="Times New Roman"/>
              </w:rPr>
            </w:pPr>
            <w:r>
              <w:rPr>
                <w:rFonts w:eastAsia="Calibri" w:cs="Times New Roman"/>
              </w:rPr>
              <w:fldChar w:fldCharType="begin"/>
            </w:r>
            <w:r>
              <w:rPr>
                <w:rFonts w:eastAsia="Calibri" w:cs="Times New Roman"/>
              </w:rPr>
              <w:instrText xml:space="preserve"> = 1 \* GB3 \* MERGEFORMAT </w:instrText>
            </w:r>
            <w:r>
              <w:rPr>
                <w:rFonts w:eastAsia="Calibri" w:cs="Times New Roman"/>
              </w:rPr>
              <w:fldChar w:fldCharType="separate"/>
            </w:r>
            <w:r>
              <w:rPr>
                <w:rFonts w:eastAsia="Calibri" w:cs="Times New Roman"/>
              </w:rPr>
              <w:t>①</w:t>
            </w:r>
            <w:r>
              <w:rPr>
                <w:rFonts w:eastAsia="Calibri" w:cs="Times New Roman"/>
              </w:rPr>
              <w:fldChar w:fldCharType="end"/>
            </w:r>
            <w:r>
              <w:rPr>
                <w:rFonts w:eastAsia="Calibri" w:cs="Times New Roman"/>
              </w:rPr>
              <w:t>集料</w:t>
            </w:r>
          </w:p>
          <w:p>
            <w:pPr>
              <w:spacing w:line="360" w:lineRule="auto"/>
              <w:ind w:firstLine="480" w:firstLineChars="200"/>
              <w:rPr>
                <w:rFonts w:eastAsia="Calibri" w:cs="Times New Roman"/>
              </w:rPr>
            </w:pPr>
            <w:r>
              <w:rPr>
                <w:rFonts w:eastAsia="Calibri" w:cs="Times New Roman"/>
              </w:rPr>
              <w:t>碎石、砂子由汽车运输卸入碎石室内堆场。碎石、砂子分别经装载机喂料至配料仓。</w:t>
            </w:r>
          </w:p>
          <w:p>
            <w:pPr>
              <w:spacing w:line="360" w:lineRule="auto"/>
              <w:ind w:firstLine="480" w:firstLineChars="200"/>
              <w:rPr>
                <w:rFonts w:eastAsia="Calibri" w:cs="Times New Roman"/>
              </w:rPr>
            </w:pPr>
            <w:r>
              <w:rPr>
                <w:rFonts w:eastAsia="Calibri" w:cs="Times New Roman"/>
              </w:rPr>
              <w:fldChar w:fldCharType="begin"/>
            </w:r>
            <w:r>
              <w:rPr>
                <w:rFonts w:eastAsia="Calibri" w:cs="Times New Roman"/>
              </w:rPr>
              <w:instrText xml:space="preserve"> = 2 \* GB3 \* MERGEFORMAT </w:instrText>
            </w:r>
            <w:r>
              <w:rPr>
                <w:rFonts w:eastAsia="Calibri" w:cs="Times New Roman"/>
              </w:rPr>
              <w:fldChar w:fldCharType="separate"/>
            </w:r>
            <w:r>
              <w:rPr>
                <w:rFonts w:eastAsia="Calibri" w:cs="Times New Roman"/>
              </w:rPr>
              <w:t>②</w:t>
            </w:r>
            <w:r>
              <w:rPr>
                <w:rFonts w:eastAsia="Calibri" w:cs="Times New Roman"/>
              </w:rPr>
              <w:fldChar w:fldCharType="end"/>
            </w:r>
            <w:r>
              <w:rPr>
                <w:rFonts w:eastAsia="Calibri" w:cs="Times New Roman"/>
              </w:rPr>
              <w:t>水泥</w:t>
            </w:r>
          </w:p>
          <w:p>
            <w:pPr>
              <w:spacing w:line="360" w:lineRule="auto"/>
              <w:ind w:firstLine="480" w:firstLineChars="200"/>
              <w:rPr>
                <w:rFonts w:eastAsia="Calibri" w:cs="Times New Roman"/>
              </w:rPr>
            </w:pPr>
            <w:r>
              <w:rPr>
                <w:rFonts w:eastAsia="Calibri" w:cs="Times New Roman"/>
              </w:rPr>
              <w:t>水泥从水泥厂由装水泥罐车运输至散装水泥仓。</w:t>
            </w:r>
          </w:p>
          <w:p>
            <w:pPr>
              <w:spacing w:line="360" w:lineRule="auto"/>
              <w:ind w:firstLine="480" w:firstLineChars="200"/>
              <w:rPr>
                <w:rFonts w:eastAsia="Calibri" w:cs="Times New Roman"/>
              </w:rPr>
            </w:pPr>
            <w:r>
              <w:rPr>
                <w:rFonts w:eastAsia="Calibri" w:cs="Times New Roman"/>
              </w:rPr>
              <w:fldChar w:fldCharType="begin"/>
            </w:r>
            <w:r>
              <w:rPr>
                <w:rFonts w:eastAsia="Calibri" w:cs="Times New Roman"/>
              </w:rPr>
              <w:instrText xml:space="preserve"> = 3 \* GB3 \* MERGEFORMAT </w:instrText>
            </w:r>
            <w:r>
              <w:rPr>
                <w:rFonts w:eastAsia="Calibri" w:cs="Times New Roman"/>
              </w:rPr>
              <w:fldChar w:fldCharType="separate"/>
            </w:r>
            <w:r>
              <w:rPr>
                <w:rFonts w:eastAsia="Calibri" w:cs="Times New Roman"/>
              </w:rPr>
              <w:t>③</w:t>
            </w:r>
            <w:r>
              <w:rPr>
                <w:rFonts w:eastAsia="Calibri" w:cs="Times New Roman"/>
              </w:rPr>
              <w:fldChar w:fldCharType="end"/>
            </w:r>
            <w:r>
              <w:rPr>
                <w:rFonts w:eastAsia="Calibri" w:cs="Times New Roman"/>
              </w:rPr>
              <w:t>粉煤灰</w:t>
            </w:r>
          </w:p>
          <w:p>
            <w:pPr>
              <w:spacing w:line="360" w:lineRule="auto"/>
              <w:ind w:firstLine="480" w:firstLineChars="200"/>
              <w:rPr>
                <w:rFonts w:eastAsia="Calibri" w:cs="Times New Roman"/>
              </w:rPr>
            </w:pPr>
            <w:r>
              <w:rPr>
                <w:rFonts w:eastAsia="Calibri" w:cs="Times New Roman"/>
              </w:rPr>
              <w:t>粉煤灰由散装水泥专用汽车运输进厂至粉煤灰中间仓。</w:t>
            </w:r>
          </w:p>
          <w:p>
            <w:pPr>
              <w:spacing w:line="360" w:lineRule="auto"/>
              <w:ind w:firstLine="480" w:firstLineChars="200"/>
              <w:rPr>
                <w:rFonts w:eastAsia="Calibri" w:cs="Times New Roman"/>
              </w:rPr>
            </w:pPr>
            <w:r>
              <w:rPr>
                <w:rFonts w:eastAsia="Calibri" w:cs="Times New Roman"/>
              </w:rPr>
              <w:fldChar w:fldCharType="begin"/>
            </w:r>
            <w:r>
              <w:rPr>
                <w:rFonts w:eastAsia="Calibri" w:cs="Times New Roman"/>
              </w:rPr>
              <w:instrText xml:space="preserve"> = 4 \* GB3 \* MERGEFORMAT </w:instrText>
            </w:r>
            <w:r>
              <w:rPr>
                <w:rFonts w:eastAsia="Calibri" w:cs="Times New Roman"/>
              </w:rPr>
              <w:fldChar w:fldCharType="separate"/>
            </w:r>
            <w:r>
              <w:rPr>
                <w:rFonts w:eastAsia="Calibri" w:cs="Times New Roman"/>
              </w:rPr>
              <w:t>④</w:t>
            </w:r>
            <w:r>
              <w:rPr>
                <w:rFonts w:eastAsia="Calibri" w:cs="Times New Roman"/>
              </w:rPr>
              <w:fldChar w:fldCharType="end"/>
            </w:r>
            <w:r>
              <w:rPr>
                <w:rFonts w:eastAsia="Calibri" w:cs="Times New Roman"/>
              </w:rPr>
              <w:t>固体外加剂</w:t>
            </w:r>
          </w:p>
          <w:p>
            <w:pPr>
              <w:spacing w:line="360" w:lineRule="auto"/>
              <w:ind w:firstLine="480" w:firstLineChars="200"/>
              <w:rPr>
                <w:rFonts w:eastAsia="Calibri" w:cs="Times New Roman"/>
              </w:rPr>
            </w:pPr>
            <w:r>
              <w:rPr>
                <w:rFonts w:eastAsia="Calibri" w:cs="Times New Roman"/>
              </w:rPr>
              <w:t>固定外加剂均为袋装入厂，利用库房储存，人工破袋后输送至外加剂储存仓。</w:t>
            </w:r>
          </w:p>
          <w:p>
            <w:pPr>
              <w:spacing w:line="360" w:lineRule="auto"/>
              <w:ind w:firstLine="480" w:firstLineChars="200"/>
              <w:rPr>
                <w:rFonts w:eastAsia="Calibri" w:cs="Times New Roman"/>
              </w:rPr>
            </w:pPr>
            <w:r>
              <w:rPr>
                <w:rFonts w:eastAsia="Calibri" w:cs="Times New Roman"/>
              </w:rPr>
              <w:fldChar w:fldCharType="begin"/>
            </w:r>
            <w:r>
              <w:rPr>
                <w:rFonts w:eastAsia="Calibri" w:cs="Times New Roman"/>
              </w:rPr>
              <w:instrText xml:space="preserve"> = 5 \* GB3 \* MERGEFORMAT </w:instrText>
            </w:r>
            <w:r>
              <w:rPr>
                <w:rFonts w:eastAsia="Calibri" w:cs="Times New Roman"/>
              </w:rPr>
              <w:fldChar w:fldCharType="separate"/>
            </w:r>
            <w:r>
              <w:rPr>
                <w:rFonts w:eastAsia="Calibri" w:cs="Times New Roman"/>
              </w:rPr>
              <w:t>⑤</w:t>
            </w:r>
            <w:r>
              <w:rPr>
                <w:rFonts w:eastAsia="Calibri" w:cs="Times New Roman"/>
              </w:rPr>
              <w:fldChar w:fldCharType="end"/>
            </w:r>
            <w:r>
              <w:rPr>
                <w:rFonts w:eastAsia="Calibri" w:cs="Times New Roman"/>
              </w:rPr>
              <w:t>液体外加剂</w:t>
            </w:r>
          </w:p>
          <w:p>
            <w:pPr>
              <w:spacing w:line="360" w:lineRule="auto"/>
              <w:ind w:firstLine="480" w:firstLineChars="200"/>
              <w:rPr>
                <w:rFonts w:eastAsia="Calibri" w:cs="Times New Roman"/>
              </w:rPr>
            </w:pPr>
            <w:r>
              <w:rPr>
                <w:rFonts w:eastAsia="Calibri" w:cs="Times New Roman"/>
              </w:rPr>
              <w:t>按配比要求将粉剂加水搅拌溶解之后，通过塑料液体泵分别送往液体外加剂秤。</w:t>
            </w:r>
          </w:p>
          <w:p>
            <w:pPr>
              <w:spacing w:line="360" w:lineRule="auto"/>
              <w:ind w:firstLine="480" w:firstLineChars="200"/>
              <w:rPr>
                <w:rFonts w:eastAsia="Calibri" w:cs="Times New Roman"/>
              </w:rPr>
            </w:pPr>
            <w:r>
              <w:rPr>
                <w:rFonts w:eastAsia="Calibri" w:cs="Times New Roman"/>
              </w:rPr>
              <w:fldChar w:fldCharType="begin"/>
            </w:r>
            <w:r>
              <w:rPr>
                <w:rFonts w:eastAsia="Calibri" w:cs="Times New Roman"/>
              </w:rPr>
              <w:instrText xml:space="preserve"> = 6 \* GB3 \* MERGEFORMAT </w:instrText>
            </w:r>
            <w:r>
              <w:rPr>
                <w:rFonts w:eastAsia="Calibri" w:cs="Times New Roman"/>
              </w:rPr>
              <w:fldChar w:fldCharType="separate"/>
            </w:r>
            <w:r>
              <w:rPr>
                <w:rFonts w:eastAsia="Calibri" w:cs="Times New Roman"/>
              </w:rPr>
              <w:t>⑥</w:t>
            </w:r>
            <w:r>
              <w:rPr>
                <w:rFonts w:eastAsia="Calibri" w:cs="Times New Roman"/>
              </w:rPr>
              <w:fldChar w:fldCharType="end"/>
            </w:r>
            <w:r>
              <w:rPr>
                <w:rFonts w:eastAsia="Calibri" w:cs="Times New Roman"/>
              </w:rPr>
              <w:t>水</w:t>
            </w:r>
          </w:p>
          <w:p>
            <w:pPr>
              <w:spacing w:line="360" w:lineRule="auto"/>
              <w:ind w:firstLine="480" w:firstLineChars="200"/>
              <w:rPr>
                <w:rFonts w:eastAsia="Calibri" w:cs="Times New Roman"/>
              </w:rPr>
            </w:pPr>
            <w:r>
              <w:rPr>
                <w:rFonts w:eastAsia="Calibri" w:cs="Times New Roman"/>
              </w:rPr>
              <w:t>由搅拌站的水泵房接厂内上水网管，平时进水管网直接供水至高位水箱内，可同时向多台搅拌机供水。</w:t>
            </w:r>
          </w:p>
          <w:p>
            <w:pPr>
              <w:spacing w:line="360" w:lineRule="auto"/>
              <w:ind w:firstLine="480" w:firstLineChars="200"/>
              <w:rPr>
                <w:rFonts w:eastAsia="Calibri" w:cs="Times New Roman"/>
              </w:rPr>
            </w:pPr>
            <w:r>
              <w:rPr>
                <w:rFonts w:eastAsia="Calibri" w:cs="Times New Roman"/>
              </w:rPr>
              <w:t>2）搅拌与排料</w:t>
            </w:r>
          </w:p>
          <w:p>
            <w:pPr>
              <w:spacing w:line="360" w:lineRule="auto"/>
              <w:ind w:firstLine="480" w:firstLineChars="200"/>
              <w:rPr>
                <w:rFonts w:eastAsia="Calibri" w:cs="Times New Roman"/>
              </w:rPr>
            </w:pPr>
            <w:r>
              <w:rPr>
                <w:rFonts w:eastAsia="Calibri" w:cs="Times New Roman"/>
              </w:rPr>
              <w:t>混凝土拌合物的搅拌，既可混合均匀，还能起到塑化和强化作用。</w:t>
            </w:r>
          </w:p>
          <w:p>
            <w:pPr>
              <w:spacing w:line="360" w:lineRule="auto"/>
              <w:ind w:firstLine="480" w:firstLineChars="200"/>
              <w:rPr>
                <w:rFonts w:eastAsia="Calibri" w:cs="Times New Roman"/>
              </w:rPr>
            </w:pPr>
            <w:r>
              <w:rPr>
                <w:rFonts w:eastAsia="Calibri" w:cs="Times New Roman"/>
              </w:rPr>
              <w:t>选用主机单卧轴强制式搅拌机，具有双层密封不漏浆、节能高效的特点。配置主机二台双机组配套生产的能力，可以满足用户对混凝土拌合物集中浇筑(即高峰用量）时的生产能力，具备混凝土搅拌一级站的条件和水平。</w:t>
            </w:r>
          </w:p>
          <w:p>
            <w:pPr>
              <w:spacing w:line="360" w:lineRule="auto"/>
              <w:ind w:firstLine="480" w:firstLineChars="200"/>
              <w:rPr>
                <w:rFonts w:eastAsia="Calibri" w:cs="Times New Roman"/>
              </w:rPr>
            </w:pPr>
            <w:r>
              <w:rPr>
                <w:rFonts w:eastAsia="Calibri" w:cs="Times New Roman"/>
              </w:rPr>
              <w:t>经过计量秤按配比要求秤量的水泥、集料、粉煤灰、固体外加剂、液体外加剂、水，分别进入搅拌机，完成搅拌后混凝土拌合料经排料斗进入混凝土搅拌输送车。</w:t>
            </w:r>
          </w:p>
          <w:p>
            <w:pPr>
              <w:spacing w:line="360" w:lineRule="auto"/>
              <w:ind w:firstLine="480" w:firstLineChars="200"/>
              <w:rPr>
                <w:rFonts w:eastAsia="Calibri" w:cs="Times New Roman"/>
              </w:rPr>
            </w:pPr>
            <w:r>
              <w:rPr>
                <w:rFonts w:eastAsia="Calibri" w:cs="Times New Roman"/>
              </w:rPr>
              <w:t>3）运输</w:t>
            </w:r>
          </w:p>
          <w:p>
            <w:pPr>
              <w:spacing w:line="360" w:lineRule="auto"/>
              <w:ind w:firstLine="480" w:firstLineChars="200"/>
              <w:rPr>
                <w:rFonts w:eastAsia="Calibri" w:cs="Times New Roman"/>
              </w:rPr>
            </w:pPr>
            <w:r>
              <w:rPr>
                <w:rFonts w:eastAsia="Calibri" w:cs="Times New Roman"/>
              </w:rPr>
              <w:t>为了供应用户的需求，由混凝土搅拌运输车从搅拌站运输混凝土拌合料至各施工点。</w:t>
            </w:r>
          </w:p>
          <w:p>
            <w:pPr>
              <w:adjustRightInd w:val="0"/>
              <w:snapToGrid w:val="0"/>
              <w:spacing w:line="360" w:lineRule="auto"/>
              <w:ind w:firstLine="480" w:firstLineChars="200"/>
              <w:rPr>
                <w:rFonts w:cs="Times New Roman"/>
              </w:rPr>
            </w:pPr>
            <w:r>
              <w:rPr>
                <w:rFonts w:cs="Times New Roman"/>
              </w:rPr>
              <w:t>（</w:t>
            </w:r>
            <w:r>
              <w:rPr>
                <w:rFonts w:hint="eastAsia" w:cs="Times New Roman"/>
              </w:rPr>
              <w:t>6</w:t>
            </w:r>
            <w:r>
              <w:rPr>
                <w:rFonts w:cs="Times New Roman"/>
              </w:rPr>
              <w:t>）污染物产生量及环保措施</w:t>
            </w:r>
          </w:p>
          <w:p>
            <w:pPr>
              <w:adjustRightInd w:val="0"/>
              <w:snapToGrid w:val="0"/>
              <w:spacing w:line="360" w:lineRule="auto"/>
              <w:ind w:firstLine="480" w:firstLineChars="200"/>
              <w:rPr>
                <w:rFonts w:cs="Times New Roman"/>
              </w:rPr>
            </w:pPr>
            <w:r>
              <w:rPr>
                <w:rFonts w:cs="Times New Roman"/>
              </w:rPr>
              <w:t>根据建设方提供的数据，原有厂区主要污染源、已采取的治理措施及相关排放浓度与产生量推算具体见下表所示。</w:t>
            </w:r>
          </w:p>
          <w:p>
            <w:pPr>
              <w:pStyle w:val="15"/>
              <w:spacing w:line="240" w:lineRule="auto"/>
              <w:rPr>
                <w:rFonts w:cs="Times New Roman" w:eastAsiaTheme="minorEastAsia"/>
                <w:sz w:val="21"/>
                <w:szCs w:val="21"/>
                <w:u w:val="single"/>
              </w:rPr>
            </w:pPr>
            <w:r>
              <w:rPr>
                <w:rFonts w:cs="Times New Roman" w:eastAsiaTheme="minorEastAsia"/>
                <w:sz w:val="21"/>
                <w:szCs w:val="21"/>
                <w:u w:val="single"/>
              </w:rPr>
              <w:t>表</w:t>
            </w:r>
            <w:r>
              <w:rPr>
                <w:rFonts w:cs="Times New Roman" w:eastAsiaTheme="minorEastAsia"/>
                <w:sz w:val="21"/>
                <w:szCs w:val="21"/>
                <w:u w:val="single"/>
              </w:rPr>
              <w:fldChar w:fldCharType="begin"/>
            </w:r>
            <w:r>
              <w:rPr>
                <w:rFonts w:cs="Times New Roman" w:eastAsiaTheme="minorEastAsia"/>
                <w:sz w:val="21"/>
                <w:szCs w:val="21"/>
                <w:u w:val="single"/>
              </w:rPr>
              <w:instrText xml:space="preserve"> STYLEREF 2 \s </w:instrText>
            </w:r>
            <w:r>
              <w:rPr>
                <w:rFonts w:cs="Times New Roman" w:eastAsiaTheme="minorEastAsia"/>
                <w:sz w:val="21"/>
                <w:szCs w:val="21"/>
                <w:u w:val="single"/>
              </w:rPr>
              <w:fldChar w:fldCharType="separate"/>
            </w:r>
            <w:r>
              <w:rPr>
                <w:rFonts w:cs="Times New Roman" w:eastAsiaTheme="minorEastAsia"/>
                <w:sz w:val="21"/>
                <w:szCs w:val="21"/>
                <w:u w:val="single"/>
              </w:rPr>
              <w:t>1.3</w:t>
            </w:r>
            <w:r>
              <w:rPr>
                <w:rFonts w:cs="Times New Roman" w:eastAsiaTheme="minorEastAsia"/>
                <w:sz w:val="21"/>
                <w:szCs w:val="21"/>
                <w:u w:val="single"/>
              </w:rPr>
              <w:fldChar w:fldCharType="end"/>
            </w:r>
            <w:r>
              <w:rPr>
                <w:rFonts w:cs="Times New Roman" w:eastAsiaTheme="minorEastAsia"/>
                <w:sz w:val="21"/>
                <w:szCs w:val="21"/>
                <w:u w:val="single"/>
              </w:rPr>
              <w:noBreakHyphen/>
            </w:r>
            <w:r>
              <w:rPr>
                <w:rFonts w:cs="Times New Roman" w:eastAsiaTheme="minorEastAsia"/>
                <w:sz w:val="21"/>
                <w:szCs w:val="21"/>
                <w:u w:val="single"/>
              </w:rPr>
              <w:fldChar w:fldCharType="begin"/>
            </w:r>
            <w:r>
              <w:rPr>
                <w:rFonts w:cs="Times New Roman" w:eastAsiaTheme="minorEastAsia"/>
                <w:sz w:val="21"/>
                <w:szCs w:val="21"/>
                <w:u w:val="single"/>
              </w:rPr>
              <w:instrText xml:space="preserve"> SEQ 表 \* ARABIC \s 2 </w:instrText>
            </w:r>
            <w:r>
              <w:rPr>
                <w:rFonts w:cs="Times New Roman" w:eastAsiaTheme="minorEastAsia"/>
                <w:sz w:val="21"/>
                <w:szCs w:val="21"/>
                <w:u w:val="single"/>
              </w:rPr>
              <w:fldChar w:fldCharType="separate"/>
            </w:r>
            <w:r>
              <w:rPr>
                <w:rFonts w:cs="Times New Roman" w:eastAsiaTheme="minorEastAsia"/>
                <w:sz w:val="21"/>
                <w:szCs w:val="21"/>
                <w:u w:val="single"/>
              </w:rPr>
              <w:t>11</w:t>
            </w:r>
            <w:r>
              <w:rPr>
                <w:rFonts w:cs="Times New Roman" w:eastAsiaTheme="minorEastAsia"/>
                <w:sz w:val="21"/>
                <w:szCs w:val="21"/>
                <w:u w:val="single"/>
              </w:rPr>
              <w:fldChar w:fldCharType="end"/>
            </w:r>
            <w:r>
              <w:rPr>
                <w:rFonts w:cs="Times New Roman" w:eastAsiaTheme="minorEastAsia"/>
                <w:sz w:val="21"/>
                <w:szCs w:val="21"/>
                <w:u w:val="single"/>
              </w:rPr>
              <w:t xml:space="preserve">  原有工程污染源及环保措施一览表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426"/>
              <w:gridCol w:w="1002"/>
              <w:gridCol w:w="1422"/>
              <w:gridCol w:w="1238"/>
              <w:gridCol w:w="1890"/>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cs="Times New Roman"/>
                      <w:bCs/>
                      <w:sz w:val="21"/>
                      <w:u w:val="single"/>
                    </w:rPr>
                  </w:pPr>
                  <w:r>
                    <w:rPr>
                      <w:rFonts w:cs="Times New Roman"/>
                      <w:bCs/>
                      <w:sz w:val="21"/>
                      <w:u w:val="single"/>
                    </w:rPr>
                    <w:t>类型</w:t>
                  </w:r>
                </w:p>
                <w:p>
                  <w:pPr>
                    <w:adjustRightInd w:val="0"/>
                    <w:snapToGrid w:val="0"/>
                    <w:rPr>
                      <w:rFonts w:cs="Times New Roman"/>
                      <w:bCs/>
                      <w:sz w:val="21"/>
                      <w:u w:val="single"/>
                    </w:rPr>
                  </w:pPr>
                  <w:r>
                    <w:rPr>
                      <w:rFonts w:cs="Times New Roman"/>
                      <w:bCs/>
                      <w:sz w:val="21"/>
                      <w:u w:val="single"/>
                    </w:rPr>
                    <w:t>内容</w:t>
                  </w:r>
                </w:p>
              </w:tc>
              <w:tc>
                <w:tcPr>
                  <w:tcW w:w="860" w:type="pct"/>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sz w:val="21"/>
                      <w:u w:val="single"/>
                    </w:rPr>
                  </w:pPr>
                  <w:r>
                    <w:rPr>
                      <w:rFonts w:cs="Times New Roman"/>
                      <w:bCs/>
                      <w:sz w:val="21"/>
                      <w:u w:val="single"/>
                    </w:rPr>
                    <w:t>排放源</w:t>
                  </w:r>
                </w:p>
                <w:p>
                  <w:pPr>
                    <w:adjustRightInd w:val="0"/>
                    <w:snapToGrid w:val="0"/>
                    <w:jc w:val="center"/>
                    <w:rPr>
                      <w:rFonts w:cs="Times New Roman"/>
                      <w:bCs/>
                      <w:sz w:val="21"/>
                      <w:u w:val="single"/>
                    </w:rPr>
                  </w:pPr>
                  <w:r>
                    <w:rPr>
                      <w:rFonts w:cs="Times New Roman"/>
                      <w:bCs/>
                      <w:sz w:val="21"/>
                      <w:u w:val="single"/>
                    </w:rPr>
                    <w:t>（编号）</w:t>
                  </w:r>
                </w:p>
              </w:tc>
              <w:tc>
                <w:tcPr>
                  <w:tcW w:w="857"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sz w:val="21"/>
                      <w:u w:val="single"/>
                    </w:rPr>
                  </w:pPr>
                  <w:r>
                    <w:rPr>
                      <w:rFonts w:cs="Times New Roman"/>
                      <w:bCs/>
                      <w:sz w:val="21"/>
                      <w:u w:val="single"/>
                    </w:rPr>
                    <w:t>污染物名称</w:t>
                  </w:r>
                </w:p>
              </w:tc>
              <w:tc>
                <w:tcPr>
                  <w:tcW w:w="746"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sz w:val="21"/>
                      <w:u w:val="single"/>
                    </w:rPr>
                  </w:pPr>
                  <w:r>
                    <w:rPr>
                      <w:rFonts w:cs="Times New Roman"/>
                      <w:bCs/>
                      <w:sz w:val="21"/>
                      <w:u w:val="single"/>
                    </w:rPr>
                    <w:t>环保措施</w:t>
                  </w:r>
                </w:p>
              </w:tc>
              <w:tc>
                <w:tcPr>
                  <w:tcW w:w="113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sz w:val="21"/>
                      <w:u w:val="single"/>
                    </w:rPr>
                  </w:pPr>
                  <w:r>
                    <w:rPr>
                      <w:rFonts w:cs="Times New Roman"/>
                      <w:bCs/>
                      <w:sz w:val="21"/>
                      <w:u w:val="single"/>
                    </w:rPr>
                    <w:t>处理前产生浓度及产生量（单位）</w:t>
                  </w:r>
                </w:p>
              </w:tc>
              <w:tc>
                <w:tcPr>
                  <w:tcW w:w="1104"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sz w:val="21"/>
                      <w:u w:val="single"/>
                    </w:rPr>
                  </w:pPr>
                  <w:r>
                    <w:rPr>
                      <w:rFonts w:cs="Times New Roman"/>
                      <w:bCs/>
                      <w:sz w:val="21"/>
                      <w:u w:val="single"/>
                    </w:rPr>
                    <w:t>排放浓度及排放量</w:t>
                  </w:r>
                </w:p>
                <w:p>
                  <w:pPr>
                    <w:adjustRightInd w:val="0"/>
                    <w:snapToGrid w:val="0"/>
                    <w:jc w:val="center"/>
                    <w:rPr>
                      <w:rFonts w:cs="Times New Roman"/>
                      <w:bCs/>
                      <w:sz w:val="21"/>
                      <w:u w:val="single"/>
                    </w:rPr>
                  </w:pPr>
                  <w:r>
                    <w:rPr>
                      <w:rFonts w:cs="Times New Roman"/>
                      <w:bCs/>
                      <w:sz w:val="21"/>
                      <w:u w:val="singl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restart"/>
                  <w:tcBorders>
                    <w:top w:val="nil"/>
                    <w:left w:val="single" w:color="auto" w:sz="4" w:space="0"/>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大</w:t>
                  </w:r>
                </w:p>
                <w:p>
                  <w:pPr>
                    <w:adjustRightInd w:val="0"/>
                    <w:snapToGrid w:val="0"/>
                    <w:jc w:val="center"/>
                    <w:rPr>
                      <w:rFonts w:cs="Times New Roman"/>
                      <w:sz w:val="21"/>
                      <w:u w:val="single"/>
                    </w:rPr>
                  </w:pPr>
                  <w:r>
                    <w:rPr>
                      <w:rFonts w:cs="Times New Roman"/>
                      <w:sz w:val="21"/>
                      <w:u w:val="single"/>
                    </w:rPr>
                    <w:t>气</w:t>
                  </w:r>
                </w:p>
                <w:p>
                  <w:pPr>
                    <w:adjustRightInd w:val="0"/>
                    <w:snapToGrid w:val="0"/>
                    <w:jc w:val="center"/>
                    <w:rPr>
                      <w:rFonts w:cs="Times New Roman"/>
                      <w:sz w:val="21"/>
                      <w:u w:val="single"/>
                    </w:rPr>
                  </w:pPr>
                  <w:r>
                    <w:rPr>
                      <w:rFonts w:cs="Times New Roman"/>
                      <w:sz w:val="21"/>
                      <w:u w:val="single"/>
                    </w:rPr>
                    <w:t>污</w:t>
                  </w:r>
                </w:p>
                <w:p>
                  <w:pPr>
                    <w:adjustRightInd w:val="0"/>
                    <w:snapToGrid w:val="0"/>
                    <w:jc w:val="center"/>
                    <w:rPr>
                      <w:rFonts w:cs="Times New Roman"/>
                      <w:sz w:val="21"/>
                      <w:u w:val="single"/>
                    </w:rPr>
                  </w:pPr>
                  <w:r>
                    <w:rPr>
                      <w:rFonts w:cs="Times New Roman"/>
                      <w:sz w:val="21"/>
                      <w:u w:val="single"/>
                    </w:rPr>
                    <w:t>染</w:t>
                  </w:r>
                </w:p>
                <w:p>
                  <w:pPr>
                    <w:adjustRightInd w:val="0"/>
                    <w:snapToGrid w:val="0"/>
                    <w:jc w:val="center"/>
                    <w:rPr>
                      <w:rFonts w:cs="Times New Roman"/>
                      <w:sz w:val="21"/>
                      <w:u w:val="single"/>
                    </w:rPr>
                  </w:pPr>
                  <w:r>
                    <w:rPr>
                      <w:rFonts w:cs="Times New Roman"/>
                      <w:sz w:val="21"/>
                      <w:u w:val="single"/>
                    </w:rPr>
                    <w:t>物</w:t>
                  </w:r>
                </w:p>
              </w:tc>
              <w:tc>
                <w:tcPr>
                  <w:tcW w:w="256" w:type="pct"/>
                  <w:vMerge w:val="restart"/>
                  <w:tcBorders>
                    <w:top w:val="nil"/>
                    <w:left w:val="nil"/>
                    <w:right w:val="single" w:color="auto" w:sz="4" w:space="0"/>
                  </w:tcBorders>
                  <w:vAlign w:val="center"/>
                </w:tcPr>
                <w:p>
                  <w:pPr>
                    <w:adjustRightInd w:val="0"/>
                    <w:snapToGrid w:val="0"/>
                    <w:jc w:val="center"/>
                    <w:rPr>
                      <w:rFonts w:cs="Times New Roman"/>
                      <w:sz w:val="21"/>
                      <w:u w:val="single"/>
                    </w:rPr>
                  </w:pPr>
                  <w:r>
                    <w:rPr>
                      <w:rFonts w:cs="Times New Roman"/>
                      <w:sz w:val="21"/>
                      <w:u w:val="single"/>
                    </w:rPr>
                    <w:t>无</w:t>
                  </w:r>
                </w:p>
                <w:p>
                  <w:pPr>
                    <w:adjustRightInd w:val="0"/>
                    <w:snapToGrid w:val="0"/>
                    <w:jc w:val="center"/>
                    <w:rPr>
                      <w:rFonts w:cs="Times New Roman"/>
                      <w:sz w:val="21"/>
                      <w:u w:val="single"/>
                    </w:rPr>
                  </w:pPr>
                  <w:r>
                    <w:rPr>
                      <w:rFonts w:cs="Times New Roman"/>
                      <w:sz w:val="21"/>
                      <w:u w:val="single"/>
                    </w:rPr>
                    <w:t>组</w:t>
                  </w:r>
                </w:p>
                <w:p>
                  <w:pPr>
                    <w:adjustRightInd w:val="0"/>
                    <w:snapToGrid w:val="0"/>
                    <w:jc w:val="center"/>
                    <w:rPr>
                      <w:rFonts w:cs="Times New Roman"/>
                      <w:sz w:val="21"/>
                      <w:u w:val="single"/>
                    </w:rPr>
                  </w:pPr>
                  <w:r>
                    <w:rPr>
                      <w:rFonts w:cs="Times New Roman"/>
                      <w:sz w:val="21"/>
                      <w:u w:val="single"/>
                    </w:rPr>
                    <w:t>织</w:t>
                  </w:r>
                </w:p>
              </w:tc>
              <w:tc>
                <w:tcPr>
                  <w:tcW w:w="60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堆场起尘</w:t>
                  </w:r>
                </w:p>
              </w:tc>
              <w:tc>
                <w:tcPr>
                  <w:tcW w:w="857"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粉尘</w:t>
                  </w:r>
                </w:p>
              </w:tc>
              <w:tc>
                <w:tcPr>
                  <w:tcW w:w="746"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洒水抑尘</w:t>
                  </w:r>
                </w:p>
              </w:tc>
              <w:tc>
                <w:tcPr>
                  <w:tcW w:w="1139"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hint="eastAsia" w:cs="Times New Roman"/>
                      <w:sz w:val="21"/>
                      <w:u w:val="single"/>
                      <w:lang w:val="en-US" w:eastAsia="zh-CN"/>
                    </w:rPr>
                    <w:t>0.07</w:t>
                  </w:r>
                  <w:r>
                    <w:rPr>
                      <w:rFonts w:cs="Times New Roman"/>
                      <w:sz w:val="21"/>
                      <w:u w:val="single"/>
                    </w:rPr>
                    <w:t>t/a</w:t>
                  </w:r>
                </w:p>
              </w:tc>
              <w:tc>
                <w:tcPr>
                  <w:tcW w:w="1104"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少量，</w:t>
                  </w:r>
                  <w:r>
                    <w:rPr>
                      <w:rFonts w:hint="eastAsia" w:cs="Times New Roman"/>
                      <w:sz w:val="21"/>
                      <w:u w:val="single"/>
                      <w:lang w:val="en-US" w:eastAsia="zh-CN"/>
                    </w:rPr>
                    <w:t>0.017</w:t>
                  </w:r>
                  <w:r>
                    <w:rPr>
                      <w:rFonts w:cs="Times New Roman"/>
                      <w:sz w:val="21"/>
                      <w:u w:val="singl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256" w:type="pct"/>
                  <w:vMerge w:val="continue"/>
                  <w:tcBorders>
                    <w:left w:val="nil"/>
                    <w:right w:val="single" w:color="auto" w:sz="4" w:space="0"/>
                  </w:tcBorders>
                  <w:vAlign w:val="center"/>
                </w:tcPr>
                <w:p>
                  <w:pPr>
                    <w:widowControl/>
                    <w:jc w:val="left"/>
                    <w:rPr>
                      <w:rFonts w:cs="Times New Roman"/>
                      <w:sz w:val="21"/>
                      <w:u w:val="single"/>
                    </w:rPr>
                  </w:pPr>
                </w:p>
              </w:tc>
              <w:tc>
                <w:tcPr>
                  <w:tcW w:w="60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卸料粉尘</w:t>
                  </w:r>
                </w:p>
              </w:tc>
              <w:tc>
                <w:tcPr>
                  <w:tcW w:w="857"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粉尘</w:t>
                  </w:r>
                </w:p>
              </w:tc>
              <w:tc>
                <w:tcPr>
                  <w:tcW w:w="746"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洒水抑尘</w:t>
                  </w:r>
                </w:p>
              </w:tc>
              <w:tc>
                <w:tcPr>
                  <w:tcW w:w="1139"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hint="eastAsia" w:cs="Times New Roman"/>
                      <w:sz w:val="21"/>
                      <w:u w:val="single"/>
                      <w:lang w:val="en-US" w:eastAsia="zh-CN"/>
                    </w:rPr>
                    <w:t>1.2</w:t>
                  </w:r>
                  <w:r>
                    <w:rPr>
                      <w:rFonts w:cs="Times New Roman"/>
                      <w:sz w:val="21"/>
                      <w:u w:val="single"/>
                    </w:rPr>
                    <w:t>t/a</w:t>
                  </w:r>
                </w:p>
              </w:tc>
              <w:tc>
                <w:tcPr>
                  <w:tcW w:w="1104"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少量，</w:t>
                  </w:r>
                  <w:r>
                    <w:rPr>
                      <w:rFonts w:hint="eastAsia" w:cs="Times New Roman"/>
                      <w:sz w:val="21"/>
                      <w:u w:val="single"/>
                      <w:lang w:val="en-US" w:eastAsia="zh-CN"/>
                    </w:rPr>
                    <w:t>0.18</w:t>
                  </w:r>
                  <w:r>
                    <w:rPr>
                      <w:rFonts w:cs="Times New Roman"/>
                      <w:sz w:val="21"/>
                      <w:u w:val="singl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256" w:type="pct"/>
                  <w:vMerge w:val="continue"/>
                  <w:tcBorders>
                    <w:left w:val="nil"/>
                    <w:bottom w:val="single" w:color="auto" w:sz="4" w:space="0"/>
                    <w:right w:val="single" w:color="auto" w:sz="4" w:space="0"/>
                  </w:tcBorders>
                  <w:vAlign w:val="center"/>
                </w:tcPr>
                <w:p>
                  <w:pPr>
                    <w:widowControl/>
                    <w:jc w:val="left"/>
                    <w:rPr>
                      <w:rFonts w:cs="Times New Roman"/>
                      <w:sz w:val="21"/>
                      <w:u w:val="single"/>
                    </w:rPr>
                  </w:pPr>
                </w:p>
              </w:tc>
              <w:tc>
                <w:tcPr>
                  <w:tcW w:w="60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筒仓顶呼吸粉尘</w:t>
                  </w:r>
                </w:p>
              </w:tc>
              <w:tc>
                <w:tcPr>
                  <w:tcW w:w="857"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粉尘</w:t>
                  </w:r>
                </w:p>
              </w:tc>
              <w:tc>
                <w:tcPr>
                  <w:tcW w:w="746"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布袋除尘</w:t>
                  </w:r>
                </w:p>
              </w:tc>
              <w:tc>
                <w:tcPr>
                  <w:tcW w:w="1139"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hint="eastAsia" w:ascii="Times New Roman" w:hAnsi="Times New Roman" w:cs="Times New Roman"/>
                      <w:kern w:val="2"/>
                      <w:sz w:val="21"/>
                      <w:szCs w:val="21"/>
                      <w:lang w:val="en-US" w:eastAsia="zh-CN"/>
                    </w:rPr>
                    <w:t>94.5</w:t>
                  </w:r>
                  <w:r>
                    <w:rPr>
                      <w:rFonts w:ascii="Times New Roman" w:hAnsi="Times New Roman" w:cs="Times New Roman"/>
                      <w:kern w:val="2"/>
                      <w:sz w:val="21"/>
                      <w:szCs w:val="21"/>
                    </w:rPr>
                    <w:t>kg/h，</w:t>
                  </w:r>
                  <w:r>
                    <w:rPr>
                      <w:rFonts w:hint="eastAsia" w:ascii="Times New Roman" w:hAnsi="Times New Roman" w:cs="Times New Roman"/>
                      <w:kern w:val="2"/>
                      <w:sz w:val="21"/>
                      <w:szCs w:val="21"/>
                      <w:lang w:val="en-US" w:eastAsia="zh-CN"/>
                    </w:rPr>
                    <w:t>189</w:t>
                  </w:r>
                  <w:r>
                    <w:rPr>
                      <w:rFonts w:ascii="Times New Roman" w:hAnsi="Times New Roman" w:cs="Times New Roman"/>
                      <w:kern w:val="2"/>
                      <w:sz w:val="21"/>
                      <w:szCs w:val="21"/>
                    </w:rPr>
                    <w:t>t/a</w:t>
                  </w:r>
                </w:p>
              </w:tc>
              <w:tc>
                <w:tcPr>
                  <w:tcW w:w="1104"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hint="eastAsia" w:ascii="Times New Roman" w:hAnsi="Times New Roman" w:cs="Times New Roman"/>
                      <w:kern w:val="2"/>
                      <w:sz w:val="21"/>
                      <w:szCs w:val="21"/>
                      <w:lang w:val="en-US" w:eastAsia="zh-CN"/>
                    </w:rPr>
                    <w:t>45</w:t>
                  </w:r>
                  <w:r>
                    <w:rPr>
                      <w:rFonts w:ascii="Times New Roman" w:hAnsi="Times New Roman" w:cs="Times New Roman"/>
                      <w:kern w:val="2"/>
                      <w:sz w:val="21"/>
                      <w:szCs w:val="21"/>
                    </w:rPr>
                    <w:t>mg/m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w:t>
                  </w:r>
                  <w:r>
                    <w:rPr>
                      <w:rFonts w:hint="eastAsia" w:ascii="Times New Roman" w:hAnsi="Times New Roman" w:cs="Times New Roman"/>
                      <w:kern w:val="2"/>
                      <w:sz w:val="21"/>
                      <w:szCs w:val="21"/>
                      <w:lang w:val="en-US" w:eastAsia="zh-CN"/>
                    </w:rPr>
                    <w:t>0.189</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256" w:type="pct"/>
                  <w:tcBorders>
                    <w:top w:val="nil"/>
                    <w:left w:val="nil"/>
                    <w:bottom w:val="single" w:color="auto" w:sz="4" w:space="0"/>
                    <w:right w:val="single" w:color="auto" w:sz="4" w:space="0"/>
                  </w:tcBorders>
                  <w:vAlign w:val="center"/>
                </w:tcPr>
                <w:p>
                  <w:pPr>
                    <w:widowControl/>
                    <w:jc w:val="left"/>
                    <w:rPr>
                      <w:rFonts w:hint="eastAsia" w:cs="Times New Roman" w:eastAsiaTheme="minorEastAsia"/>
                      <w:sz w:val="21"/>
                      <w:u w:val="single"/>
                      <w:lang w:eastAsia="zh-CN"/>
                    </w:rPr>
                  </w:pPr>
                  <w:r>
                    <w:rPr>
                      <w:rFonts w:hint="eastAsia" w:cs="Times New Roman"/>
                      <w:sz w:val="21"/>
                      <w:u w:val="single"/>
                      <w:lang w:eastAsia="zh-CN"/>
                    </w:rPr>
                    <w:t>有组织</w:t>
                  </w:r>
                </w:p>
              </w:tc>
              <w:tc>
                <w:tcPr>
                  <w:tcW w:w="60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搅拌粉尘</w:t>
                  </w:r>
                </w:p>
              </w:tc>
              <w:tc>
                <w:tcPr>
                  <w:tcW w:w="857"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粉尘</w:t>
                  </w:r>
                </w:p>
              </w:tc>
              <w:tc>
                <w:tcPr>
                  <w:tcW w:w="746"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布袋除尘</w:t>
                  </w:r>
                </w:p>
              </w:tc>
              <w:tc>
                <w:tcPr>
                  <w:tcW w:w="1890" w:type="dxa"/>
                  <w:tcBorders>
                    <w:top w:val="single" w:color="auto" w:sz="4" w:space="0"/>
                    <w:left w:val="nil"/>
                    <w:bottom w:val="single" w:color="auto" w:sz="4" w:space="0"/>
                    <w:right w:val="single" w:color="auto" w:sz="4" w:space="0"/>
                  </w:tcBorders>
                  <w:vAlign w:val="center"/>
                </w:tcPr>
                <w:p>
                  <w:pPr>
                    <w:pStyle w:val="82"/>
                    <w:snapToGrid w:val="0"/>
                    <w:jc w:val="center"/>
                    <w:rPr>
                      <w:rFonts w:cs="Times New Roman"/>
                      <w:kern w:val="0"/>
                      <w:sz w:val="21"/>
                      <w:u w:val="single"/>
                    </w:rPr>
                  </w:pPr>
                  <w:r>
                    <w:rPr>
                      <w:rFonts w:hint="eastAsia" w:ascii="Times New Roman" w:hAnsi="Times New Roman" w:cs="Times New Roman"/>
                      <w:kern w:val="2"/>
                      <w:sz w:val="21"/>
                      <w:szCs w:val="21"/>
                      <w:lang w:val="en-US" w:eastAsia="zh-CN"/>
                    </w:rPr>
                    <w:t>20.25</w:t>
                  </w:r>
                  <w:r>
                    <w:rPr>
                      <w:rFonts w:ascii="Times New Roman" w:hAnsi="Times New Roman" w:cs="Times New Roman"/>
                      <w:kern w:val="2"/>
                      <w:sz w:val="21"/>
                      <w:szCs w:val="21"/>
                    </w:rPr>
                    <w:t>kg/h，</w:t>
                  </w:r>
                  <w:r>
                    <w:rPr>
                      <w:rFonts w:hint="eastAsia" w:ascii="Times New Roman" w:hAnsi="Times New Roman" w:cs="Times New Roman"/>
                      <w:kern w:val="2"/>
                      <w:sz w:val="21"/>
                      <w:szCs w:val="21"/>
                      <w:lang w:val="en-US" w:eastAsia="zh-CN"/>
                    </w:rPr>
                    <w:t>40.5</w:t>
                  </w:r>
                  <w:r>
                    <w:rPr>
                      <w:rFonts w:ascii="Times New Roman" w:hAnsi="Times New Roman" w:cs="Times New Roman"/>
                      <w:kern w:val="2"/>
                      <w:sz w:val="21"/>
                      <w:szCs w:val="21"/>
                    </w:rPr>
                    <w:t>t/a</w:t>
                  </w:r>
                </w:p>
              </w:tc>
              <w:tc>
                <w:tcPr>
                  <w:tcW w:w="1835" w:type="dxa"/>
                  <w:tcBorders>
                    <w:top w:val="single" w:color="auto" w:sz="4" w:space="0"/>
                    <w:left w:val="nil"/>
                    <w:bottom w:val="single" w:color="auto" w:sz="4" w:space="0"/>
                    <w:right w:val="single" w:color="auto" w:sz="4" w:space="0"/>
                  </w:tcBorders>
                  <w:vAlign w:val="center"/>
                </w:tcPr>
                <w:p>
                  <w:pPr>
                    <w:pStyle w:val="82"/>
                    <w:snapToGrid w:val="0"/>
                    <w:jc w:val="center"/>
                    <w:rPr>
                      <w:rFonts w:cs="Times New Roman"/>
                      <w:kern w:val="0"/>
                      <w:sz w:val="21"/>
                      <w:u w:val="single"/>
                    </w:rPr>
                  </w:pPr>
                  <w:r>
                    <w:rPr>
                      <w:rFonts w:hint="eastAsia" w:ascii="Times New Roman" w:hAnsi="Times New Roman" w:cs="Times New Roman"/>
                      <w:kern w:val="2"/>
                      <w:sz w:val="21"/>
                      <w:szCs w:val="21"/>
                      <w:lang w:val="en-US" w:eastAsia="zh-CN"/>
                    </w:rPr>
                    <w:t>1</w:t>
                  </w:r>
                  <w:r>
                    <w:rPr>
                      <w:rFonts w:ascii="Times New Roman" w:hAnsi="Times New Roman" w:cs="Times New Roman"/>
                      <w:kern w:val="2"/>
                      <w:sz w:val="21"/>
                      <w:szCs w:val="21"/>
                    </w:rPr>
                    <w:t>mg/m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 0.0</w:t>
                  </w:r>
                  <w:r>
                    <w:rPr>
                      <w:rFonts w:hint="eastAsia" w:ascii="Times New Roman" w:hAnsi="Times New Roman" w:cs="Times New Roman"/>
                      <w:kern w:val="2"/>
                      <w:sz w:val="21"/>
                      <w:szCs w:val="21"/>
                      <w:lang w:val="en-US" w:eastAsia="zh-CN"/>
                    </w:rPr>
                    <w:t>4</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860" w:type="pct"/>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食堂油烟废气</w:t>
                  </w:r>
                </w:p>
              </w:tc>
              <w:tc>
                <w:tcPr>
                  <w:tcW w:w="857"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油烟</w:t>
                  </w:r>
                </w:p>
              </w:tc>
              <w:tc>
                <w:tcPr>
                  <w:tcW w:w="746"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油烟净化器</w:t>
                  </w:r>
                </w:p>
              </w:tc>
              <w:tc>
                <w:tcPr>
                  <w:tcW w:w="1139"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1.5mg/m</w:t>
                  </w:r>
                  <w:r>
                    <w:rPr>
                      <w:rFonts w:cs="Times New Roman"/>
                      <w:sz w:val="21"/>
                      <w:u w:val="single"/>
                      <w:vertAlign w:val="superscript"/>
                    </w:rPr>
                    <w:t>3</w:t>
                  </w:r>
                  <w:r>
                    <w:rPr>
                      <w:rFonts w:cs="Times New Roman"/>
                      <w:sz w:val="21"/>
                      <w:u w:val="single"/>
                    </w:rPr>
                    <w:t>，2.7kg/a</w:t>
                  </w:r>
                </w:p>
              </w:tc>
              <w:tc>
                <w:tcPr>
                  <w:tcW w:w="1104"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0.5mg/m</w:t>
                  </w:r>
                  <w:r>
                    <w:rPr>
                      <w:rFonts w:cs="Times New Roman"/>
                      <w:sz w:val="21"/>
                      <w:u w:val="single"/>
                      <w:vertAlign w:val="superscript"/>
                    </w:rPr>
                    <w:t>3</w:t>
                  </w:r>
                  <w:r>
                    <w:rPr>
                      <w:rFonts w:cs="Times New Roman"/>
                      <w:sz w:val="21"/>
                      <w:u w:val="single"/>
                    </w:rPr>
                    <w:t>， 2.7kg/a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restart"/>
                  <w:tcBorders>
                    <w:top w:val="nil"/>
                    <w:left w:val="single" w:color="auto" w:sz="4" w:space="0"/>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水</w:t>
                  </w:r>
                </w:p>
                <w:p>
                  <w:pPr>
                    <w:adjustRightInd w:val="0"/>
                    <w:snapToGrid w:val="0"/>
                    <w:jc w:val="center"/>
                    <w:rPr>
                      <w:rFonts w:cs="Times New Roman"/>
                      <w:sz w:val="21"/>
                      <w:u w:val="single"/>
                    </w:rPr>
                  </w:pPr>
                  <w:r>
                    <w:rPr>
                      <w:rFonts w:cs="Times New Roman"/>
                      <w:sz w:val="21"/>
                      <w:u w:val="single"/>
                    </w:rPr>
                    <w:t>污</w:t>
                  </w:r>
                </w:p>
                <w:p>
                  <w:pPr>
                    <w:adjustRightInd w:val="0"/>
                    <w:snapToGrid w:val="0"/>
                    <w:jc w:val="center"/>
                    <w:rPr>
                      <w:rFonts w:cs="Times New Roman"/>
                      <w:sz w:val="21"/>
                      <w:u w:val="single"/>
                    </w:rPr>
                  </w:pPr>
                  <w:r>
                    <w:rPr>
                      <w:rFonts w:cs="Times New Roman"/>
                      <w:sz w:val="21"/>
                      <w:u w:val="single"/>
                    </w:rPr>
                    <w:t>染</w:t>
                  </w:r>
                </w:p>
                <w:p>
                  <w:pPr>
                    <w:adjustRightInd w:val="0"/>
                    <w:snapToGrid w:val="0"/>
                    <w:jc w:val="center"/>
                    <w:rPr>
                      <w:rFonts w:cs="Times New Roman"/>
                      <w:sz w:val="21"/>
                      <w:u w:val="single"/>
                    </w:rPr>
                  </w:pPr>
                  <w:r>
                    <w:rPr>
                      <w:rFonts w:cs="Times New Roman"/>
                      <w:sz w:val="21"/>
                      <w:u w:val="single"/>
                    </w:rPr>
                    <w:t>物</w:t>
                  </w:r>
                </w:p>
              </w:tc>
              <w:tc>
                <w:tcPr>
                  <w:tcW w:w="860" w:type="pct"/>
                  <w:gridSpan w:val="2"/>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生产污水</w:t>
                  </w:r>
                </w:p>
                <w:p>
                  <w:pPr>
                    <w:jc w:val="center"/>
                    <w:rPr>
                      <w:rFonts w:cs="Times New Roman"/>
                      <w:sz w:val="21"/>
                      <w:u w:val="single"/>
                    </w:rPr>
                  </w:pPr>
                  <w:r>
                    <w:rPr>
                      <w:rFonts w:ascii="Times New Roman" w:hAnsi="Times New Roman" w:cs="Times New Roman"/>
                      <w:kern w:val="2"/>
                      <w:sz w:val="21"/>
                      <w:szCs w:val="21"/>
                    </w:rPr>
                    <w:t>（</w:t>
                  </w:r>
                  <w:r>
                    <w:rPr>
                      <w:rFonts w:hint="eastAsia" w:ascii="Times New Roman" w:hAnsi="Times New Roman" w:cs="Times New Roman"/>
                      <w:kern w:val="2"/>
                      <w:sz w:val="21"/>
                      <w:szCs w:val="21"/>
                    </w:rPr>
                    <w:t>38016</w:t>
                  </w:r>
                  <w:r>
                    <w:rPr>
                      <w:rFonts w:ascii="Times New Roman" w:hAnsi="Times New Roman" w:cs="Times New Roman"/>
                      <w:kern w:val="2"/>
                      <w:sz w:val="21"/>
                      <w:szCs w:val="21"/>
                    </w:rPr>
                    <w:t>t/a）</w:t>
                  </w:r>
                </w:p>
              </w:tc>
              <w:tc>
                <w:tcPr>
                  <w:tcW w:w="857"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SS</w:t>
                  </w:r>
                </w:p>
              </w:tc>
              <w:tc>
                <w:tcPr>
                  <w:tcW w:w="746"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沉淀池</w:t>
                  </w:r>
                </w:p>
              </w:tc>
              <w:tc>
                <w:tcPr>
                  <w:tcW w:w="1139"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3000mg/L，11.63t/a</w:t>
                  </w:r>
                </w:p>
              </w:tc>
              <w:tc>
                <w:tcPr>
                  <w:tcW w:w="1104"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860" w:type="pct"/>
                  <w:gridSpan w:val="2"/>
                  <w:vMerge w:val="restart"/>
                  <w:tcBorders>
                    <w:top w:val="nil"/>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生活污水</w:t>
                  </w:r>
                </w:p>
                <w:p>
                  <w:pPr>
                    <w:jc w:val="center"/>
                    <w:rPr>
                      <w:rFonts w:cs="Times New Roman"/>
                      <w:sz w:val="21"/>
                      <w:u w:val="single"/>
                    </w:rPr>
                  </w:pPr>
                  <w:r>
                    <w:rPr>
                      <w:rFonts w:cs="Times New Roman"/>
                      <w:sz w:val="21"/>
                      <w:u w:val="single"/>
                    </w:rPr>
                    <w:t>475.2 m</w:t>
                  </w:r>
                  <w:r>
                    <w:rPr>
                      <w:rFonts w:cs="Times New Roman"/>
                      <w:sz w:val="21"/>
                      <w:u w:val="single"/>
                      <w:vertAlign w:val="superscript"/>
                    </w:rPr>
                    <w:t>3</w:t>
                  </w:r>
                  <w:r>
                    <w:rPr>
                      <w:rFonts w:cs="Times New Roman"/>
                      <w:sz w:val="21"/>
                      <w:u w:val="single"/>
                    </w:rPr>
                    <w:t>/a</w:t>
                  </w:r>
                </w:p>
              </w:tc>
              <w:tc>
                <w:tcPr>
                  <w:tcW w:w="857"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COD</w:t>
                  </w:r>
                </w:p>
              </w:tc>
              <w:tc>
                <w:tcPr>
                  <w:tcW w:w="746" w:type="pct"/>
                  <w:vMerge w:val="restart"/>
                  <w:tcBorders>
                    <w:top w:val="nil"/>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化粪池</w:t>
                  </w:r>
                </w:p>
              </w:tc>
              <w:tc>
                <w:tcPr>
                  <w:tcW w:w="1890"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ascii="Times New Roman" w:hAnsi="Times New Roman" w:cs="Times New Roman"/>
                      <w:kern w:val="2"/>
                      <w:sz w:val="21"/>
                      <w:szCs w:val="21"/>
                    </w:rPr>
                    <w:t>350mg/L、0.3</w:t>
                  </w:r>
                  <w:r>
                    <w:rPr>
                      <w:rFonts w:hint="eastAsia" w:ascii="Times New Roman" w:hAnsi="Times New Roman" w:cs="Times New Roman"/>
                      <w:kern w:val="2"/>
                      <w:sz w:val="21"/>
                      <w:szCs w:val="21"/>
                    </w:rPr>
                    <w:t>8</w:t>
                  </w:r>
                  <w:r>
                    <w:rPr>
                      <w:rFonts w:ascii="Times New Roman" w:hAnsi="Times New Roman" w:cs="Times New Roman"/>
                      <w:kern w:val="2"/>
                      <w:sz w:val="21"/>
                      <w:szCs w:val="21"/>
                    </w:rPr>
                    <w:t>t/a</w:t>
                  </w:r>
                </w:p>
              </w:tc>
              <w:tc>
                <w:tcPr>
                  <w:tcW w:w="1835"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hint="eastAsia" w:ascii="Times New Roman" w:hAnsi="Times New Roman" w:cs="Times New Roman"/>
                      <w:kern w:val="2"/>
                      <w:sz w:val="21"/>
                      <w:szCs w:val="21"/>
                      <w:lang w:val="en-US" w:eastAsia="zh-CN"/>
                    </w:rPr>
                    <w:t>300</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0.32</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860" w:type="pct"/>
                  <w:gridSpan w:val="2"/>
                  <w:vMerge w:val="continue"/>
                  <w:tcBorders>
                    <w:top w:val="nil"/>
                    <w:left w:val="nil"/>
                    <w:bottom w:val="single" w:color="auto" w:sz="4" w:space="0"/>
                    <w:right w:val="single" w:color="auto" w:sz="4" w:space="0"/>
                  </w:tcBorders>
                  <w:vAlign w:val="center"/>
                </w:tcPr>
                <w:p>
                  <w:pPr>
                    <w:widowControl/>
                    <w:jc w:val="left"/>
                    <w:rPr>
                      <w:rFonts w:cs="Times New Roman"/>
                      <w:sz w:val="21"/>
                      <w:u w:val="single"/>
                    </w:rPr>
                  </w:pPr>
                </w:p>
              </w:tc>
              <w:tc>
                <w:tcPr>
                  <w:tcW w:w="857"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BOD</w:t>
                  </w:r>
                  <w:r>
                    <w:rPr>
                      <w:rFonts w:cs="Times New Roman"/>
                      <w:sz w:val="21"/>
                      <w:u w:val="single"/>
                      <w:vertAlign w:val="subscript"/>
                    </w:rPr>
                    <w:t>5</w:t>
                  </w:r>
                </w:p>
              </w:tc>
              <w:tc>
                <w:tcPr>
                  <w:tcW w:w="746" w:type="pct"/>
                  <w:vMerge w:val="continue"/>
                  <w:tcBorders>
                    <w:top w:val="nil"/>
                    <w:left w:val="nil"/>
                    <w:bottom w:val="single" w:color="auto" w:sz="4" w:space="0"/>
                    <w:right w:val="single" w:color="auto" w:sz="4" w:space="0"/>
                  </w:tcBorders>
                  <w:vAlign w:val="center"/>
                </w:tcPr>
                <w:p>
                  <w:pPr>
                    <w:widowControl/>
                    <w:jc w:val="left"/>
                    <w:rPr>
                      <w:rFonts w:cs="Times New Roman"/>
                      <w:sz w:val="21"/>
                      <w:u w:val="single"/>
                    </w:rPr>
                  </w:pPr>
                </w:p>
              </w:tc>
              <w:tc>
                <w:tcPr>
                  <w:tcW w:w="1890"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ascii="Times New Roman" w:hAnsi="Times New Roman" w:cs="Times New Roman"/>
                      <w:kern w:val="2"/>
                      <w:sz w:val="21"/>
                      <w:szCs w:val="21"/>
                    </w:rPr>
                    <w:t>200mg/L、0.2</w:t>
                  </w:r>
                  <w:r>
                    <w:rPr>
                      <w:rFonts w:hint="eastAsia" w:ascii="Times New Roman" w:hAnsi="Times New Roman" w:cs="Times New Roman"/>
                      <w:kern w:val="2"/>
                      <w:sz w:val="21"/>
                      <w:szCs w:val="21"/>
                    </w:rPr>
                    <w:t>1</w:t>
                  </w:r>
                  <w:r>
                    <w:rPr>
                      <w:rFonts w:ascii="Times New Roman" w:hAnsi="Times New Roman" w:cs="Times New Roman"/>
                      <w:kern w:val="2"/>
                      <w:sz w:val="21"/>
                      <w:szCs w:val="21"/>
                    </w:rPr>
                    <w:t>t/a</w:t>
                  </w:r>
                </w:p>
              </w:tc>
              <w:tc>
                <w:tcPr>
                  <w:tcW w:w="1835"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hint="eastAsia" w:ascii="Times New Roman" w:hAnsi="Times New Roman" w:cs="Times New Roman"/>
                      <w:kern w:val="2"/>
                      <w:sz w:val="21"/>
                      <w:szCs w:val="21"/>
                      <w:lang w:val="en-US" w:eastAsia="zh-CN"/>
                    </w:rPr>
                    <w:t>150</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0.16</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860" w:type="pct"/>
                  <w:gridSpan w:val="2"/>
                  <w:vMerge w:val="continue"/>
                  <w:tcBorders>
                    <w:top w:val="nil"/>
                    <w:left w:val="nil"/>
                    <w:bottom w:val="single" w:color="auto" w:sz="4" w:space="0"/>
                    <w:right w:val="single" w:color="auto" w:sz="4" w:space="0"/>
                  </w:tcBorders>
                  <w:vAlign w:val="center"/>
                </w:tcPr>
                <w:p>
                  <w:pPr>
                    <w:widowControl/>
                    <w:jc w:val="left"/>
                    <w:rPr>
                      <w:rFonts w:cs="Times New Roman"/>
                      <w:sz w:val="21"/>
                      <w:u w:val="single"/>
                    </w:rPr>
                  </w:pPr>
                </w:p>
              </w:tc>
              <w:tc>
                <w:tcPr>
                  <w:tcW w:w="857"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SS</w:t>
                  </w:r>
                </w:p>
              </w:tc>
              <w:tc>
                <w:tcPr>
                  <w:tcW w:w="746" w:type="pct"/>
                  <w:vMerge w:val="continue"/>
                  <w:tcBorders>
                    <w:top w:val="nil"/>
                    <w:left w:val="nil"/>
                    <w:bottom w:val="single" w:color="auto" w:sz="4" w:space="0"/>
                    <w:right w:val="single" w:color="auto" w:sz="4" w:space="0"/>
                  </w:tcBorders>
                  <w:vAlign w:val="center"/>
                </w:tcPr>
                <w:p>
                  <w:pPr>
                    <w:widowControl/>
                    <w:jc w:val="left"/>
                    <w:rPr>
                      <w:rFonts w:cs="Times New Roman"/>
                      <w:sz w:val="21"/>
                      <w:u w:val="single"/>
                    </w:rPr>
                  </w:pPr>
                </w:p>
              </w:tc>
              <w:tc>
                <w:tcPr>
                  <w:tcW w:w="1890"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ascii="Times New Roman" w:hAnsi="Times New Roman" w:cs="Times New Roman"/>
                      <w:kern w:val="2"/>
                      <w:sz w:val="21"/>
                      <w:szCs w:val="21"/>
                    </w:rPr>
                    <w:t>300mg/L、0.3</w:t>
                  </w:r>
                  <w:r>
                    <w:rPr>
                      <w:rFonts w:hint="eastAsia" w:ascii="Times New Roman" w:hAnsi="Times New Roman" w:cs="Times New Roman"/>
                      <w:kern w:val="2"/>
                      <w:sz w:val="21"/>
                      <w:szCs w:val="21"/>
                    </w:rPr>
                    <w:t>2</w:t>
                  </w:r>
                  <w:r>
                    <w:rPr>
                      <w:rFonts w:ascii="Times New Roman" w:hAnsi="Times New Roman" w:cs="Times New Roman"/>
                      <w:kern w:val="2"/>
                      <w:sz w:val="21"/>
                      <w:szCs w:val="21"/>
                    </w:rPr>
                    <w:t>t/a</w:t>
                  </w:r>
                </w:p>
              </w:tc>
              <w:tc>
                <w:tcPr>
                  <w:tcW w:w="1835"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hint="eastAsia" w:ascii="Times New Roman" w:hAnsi="Times New Roman" w:cs="Times New Roman"/>
                      <w:kern w:val="2"/>
                      <w:sz w:val="21"/>
                      <w:szCs w:val="21"/>
                      <w:lang w:val="en-US" w:eastAsia="zh-CN"/>
                    </w:rPr>
                    <w:t>150</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0.16</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860" w:type="pct"/>
                  <w:gridSpan w:val="2"/>
                  <w:vMerge w:val="continue"/>
                  <w:tcBorders>
                    <w:top w:val="nil"/>
                    <w:left w:val="nil"/>
                    <w:bottom w:val="single" w:color="auto" w:sz="4" w:space="0"/>
                    <w:right w:val="single" w:color="auto" w:sz="4" w:space="0"/>
                  </w:tcBorders>
                  <w:vAlign w:val="center"/>
                </w:tcPr>
                <w:p>
                  <w:pPr>
                    <w:widowControl/>
                    <w:jc w:val="left"/>
                    <w:rPr>
                      <w:rFonts w:cs="Times New Roman"/>
                      <w:sz w:val="21"/>
                      <w:u w:val="single"/>
                    </w:rPr>
                  </w:pPr>
                </w:p>
              </w:tc>
              <w:tc>
                <w:tcPr>
                  <w:tcW w:w="857"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NH</w:t>
                  </w:r>
                  <w:r>
                    <w:rPr>
                      <w:rFonts w:cs="Times New Roman"/>
                      <w:sz w:val="21"/>
                      <w:u w:val="single"/>
                      <w:vertAlign w:val="subscript"/>
                    </w:rPr>
                    <w:t>3</w:t>
                  </w:r>
                  <w:r>
                    <w:rPr>
                      <w:rFonts w:cs="Times New Roman"/>
                      <w:sz w:val="21"/>
                      <w:u w:val="single"/>
                    </w:rPr>
                    <w:t>-N</w:t>
                  </w:r>
                </w:p>
              </w:tc>
              <w:tc>
                <w:tcPr>
                  <w:tcW w:w="746" w:type="pct"/>
                  <w:vMerge w:val="continue"/>
                  <w:tcBorders>
                    <w:top w:val="nil"/>
                    <w:left w:val="nil"/>
                    <w:bottom w:val="single" w:color="auto" w:sz="4" w:space="0"/>
                    <w:right w:val="single" w:color="auto" w:sz="4" w:space="0"/>
                  </w:tcBorders>
                  <w:vAlign w:val="center"/>
                </w:tcPr>
                <w:p>
                  <w:pPr>
                    <w:widowControl/>
                    <w:jc w:val="left"/>
                    <w:rPr>
                      <w:rFonts w:cs="Times New Roman"/>
                      <w:sz w:val="21"/>
                      <w:u w:val="single"/>
                    </w:rPr>
                  </w:pPr>
                </w:p>
              </w:tc>
              <w:tc>
                <w:tcPr>
                  <w:tcW w:w="1890"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ascii="Times New Roman" w:hAnsi="Times New Roman" w:cs="Times New Roman"/>
                      <w:kern w:val="2"/>
                      <w:sz w:val="21"/>
                      <w:szCs w:val="21"/>
                    </w:rPr>
                    <w:t>35mg/L、0.0</w:t>
                  </w:r>
                  <w:r>
                    <w:rPr>
                      <w:rFonts w:hint="eastAsia" w:ascii="Times New Roman" w:hAnsi="Times New Roman" w:cs="Times New Roman"/>
                      <w:kern w:val="2"/>
                      <w:sz w:val="21"/>
                      <w:szCs w:val="21"/>
                    </w:rPr>
                    <w:t>37</w:t>
                  </w:r>
                  <w:r>
                    <w:rPr>
                      <w:rFonts w:ascii="Times New Roman" w:hAnsi="Times New Roman" w:cs="Times New Roman"/>
                      <w:kern w:val="2"/>
                      <w:sz w:val="21"/>
                      <w:szCs w:val="21"/>
                    </w:rPr>
                    <w:t>t/a</w:t>
                  </w:r>
                </w:p>
              </w:tc>
              <w:tc>
                <w:tcPr>
                  <w:tcW w:w="1835"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hint="eastAsia" w:ascii="Times New Roman" w:hAnsi="Times New Roman" w:cs="Times New Roman"/>
                      <w:kern w:val="2"/>
                      <w:sz w:val="21"/>
                      <w:szCs w:val="21"/>
                      <w:lang w:val="en-US" w:eastAsia="zh-CN"/>
                    </w:rPr>
                    <w:t>30</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0.03</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860" w:type="pct"/>
                  <w:gridSpan w:val="2"/>
                  <w:vMerge w:val="continue"/>
                  <w:tcBorders>
                    <w:top w:val="nil"/>
                    <w:left w:val="nil"/>
                    <w:bottom w:val="single" w:color="auto" w:sz="4" w:space="0"/>
                    <w:right w:val="single" w:color="auto" w:sz="4" w:space="0"/>
                  </w:tcBorders>
                  <w:vAlign w:val="center"/>
                </w:tcPr>
                <w:p>
                  <w:pPr>
                    <w:widowControl/>
                    <w:jc w:val="left"/>
                    <w:rPr>
                      <w:rFonts w:cs="Times New Roman"/>
                      <w:sz w:val="21"/>
                      <w:u w:val="single"/>
                    </w:rPr>
                  </w:pPr>
                </w:p>
              </w:tc>
              <w:tc>
                <w:tcPr>
                  <w:tcW w:w="857" w:type="pct"/>
                  <w:tcBorders>
                    <w:top w:val="single" w:color="auto" w:sz="4" w:space="0"/>
                    <w:left w:val="nil"/>
                    <w:bottom w:val="single" w:color="auto" w:sz="4" w:space="0"/>
                    <w:right w:val="single" w:color="auto" w:sz="4" w:space="0"/>
                  </w:tcBorders>
                  <w:vAlign w:val="center"/>
                </w:tcPr>
                <w:p>
                  <w:pPr>
                    <w:jc w:val="center"/>
                    <w:rPr>
                      <w:rFonts w:cs="Times New Roman"/>
                      <w:sz w:val="21"/>
                      <w:u w:val="single"/>
                    </w:rPr>
                  </w:pPr>
                  <w:r>
                    <w:rPr>
                      <w:rFonts w:cs="Times New Roman"/>
                      <w:sz w:val="21"/>
                      <w:u w:val="single"/>
                    </w:rPr>
                    <w:t>动植物油</w:t>
                  </w:r>
                </w:p>
              </w:tc>
              <w:tc>
                <w:tcPr>
                  <w:tcW w:w="746" w:type="pct"/>
                  <w:vMerge w:val="continue"/>
                  <w:tcBorders>
                    <w:top w:val="nil"/>
                    <w:left w:val="nil"/>
                    <w:bottom w:val="single" w:color="auto" w:sz="4" w:space="0"/>
                    <w:right w:val="single" w:color="auto" w:sz="4" w:space="0"/>
                  </w:tcBorders>
                  <w:vAlign w:val="center"/>
                </w:tcPr>
                <w:p>
                  <w:pPr>
                    <w:widowControl/>
                    <w:jc w:val="left"/>
                    <w:rPr>
                      <w:rFonts w:cs="Times New Roman"/>
                      <w:sz w:val="21"/>
                      <w:u w:val="single"/>
                    </w:rPr>
                  </w:pPr>
                </w:p>
              </w:tc>
              <w:tc>
                <w:tcPr>
                  <w:tcW w:w="1890"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ascii="Times New Roman" w:hAnsi="Times New Roman" w:cs="Times New Roman"/>
                      <w:kern w:val="2"/>
                      <w:sz w:val="21"/>
                      <w:szCs w:val="21"/>
                    </w:rPr>
                    <w:t>60mg/L、0.06t/a</w:t>
                  </w:r>
                </w:p>
              </w:tc>
              <w:tc>
                <w:tcPr>
                  <w:tcW w:w="1835" w:type="dxa"/>
                  <w:tcBorders>
                    <w:top w:val="single" w:color="auto" w:sz="4" w:space="0"/>
                    <w:left w:val="nil"/>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val="single"/>
                    </w:rPr>
                  </w:pPr>
                  <w:r>
                    <w:rPr>
                      <w:rFonts w:hint="eastAsia" w:ascii="Times New Roman" w:hAnsi="Times New Roman" w:cs="Times New Roman"/>
                      <w:kern w:val="2"/>
                      <w:sz w:val="21"/>
                      <w:szCs w:val="21"/>
                      <w:lang w:val="en-US" w:eastAsia="zh-CN"/>
                    </w:rPr>
                    <w:t>18</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0.02</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restart"/>
                  <w:tcBorders>
                    <w:top w:val="nil"/>
                    <w:left w:val="single" w:color="auto" w:sz="4" w:space="0"/>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固</w:t>
                  </w:r>
                </w:p>
                <w:p>
                  <w:pPr>
                    <w:adjustRightInd w:val="0"/>
                    <w:snapToGrid w:val="0"/>
                    <w:jc w:val="center"/>
                    <w:rPr>
                      <w:rFonts w:cs="Times New Roman"/>
                      <w:sz w:val="21"/>
                      <w:u w:val="single"/>
                    </w:rPr>
                  </w:pPr>
                  <w:r>
                    <w:rPr>
                      <w:rFonts w:cs="Times New Roman"/>
                      <w:sz w:val="21"/>
                      <w:u w:val="single"/>
                    </w:rPr>
                    <w:t>体</w:t>
                  </w:r>
                </w:p>
                <w:p>
                  <w:pPr>
                    <w:adjustRightInd w:val="0"/>
                    <w:snapToGrid w:val="0"/>
                    <w:jc w:val="center"/>
                    <w:rPr>
                      <w:rFonts w:cs="Times New Roman"/>
                      <w:sz w:val="21"/>
                      <w:u w:val="single"/>
                    </w:rPr>
                  </w:pPr>
                  <w:r>
                    <w:rPr>
                      <w:rFonts w:cs="Times New Roman"/>
                      <w:sz w:val="21"/>
                      <w:u w:val="single"/>
                    </w:rPr>
                    <w:t>废</w:t>
                  </w:r>
                </w:p>
                <w:p>
                  <w:pPr>
                    <w:adjustRightInd w:val="0"/>
                    <w:snapToGrid w:val="0"/>
                    <w:jc w:val="center"/>
                    <w:rPr>
                      <w:rFonts w:cs="Times New Roman"/>
                      <w:sz w:val="21"/>
                      <w:u w:val="single"/>
                    </w:rPr>
                  </w:pPr>
                  <w:r>
                    <w:rPr>
                      <w:rFonts w:cs="Times New Roman"/>
                      <w:sz w:val="21"/>
                      <w:u w:val="single"/>
                    </w:rPr>
                    <w:t>物</w:t>
                  </w:r>
                </w:p>
              </w:tc>
              <w:tc>
                <w:tcPr>
                  <w:tcW w:w="860" w:type="pct"/>
                  <w:gridSpan w:val="2"/>
                  <w:vMerge w:val="restart"/>
                  <w:tcBorders>
                    <w:top w:val="nil"/>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生产固废</w:t>
                  </w:r>
                </w:p>
              </w:tc>
              <w:tc>
                <w:tcPr>
                  <w:tcW w:w="857"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除尘设备收集的粉尘</w:t>
                  </w:r>
                </w:p>
              </w:tc>
              <w:tc>
                <w:tcPr>
                  <w:tcW w:w="746"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w:t>
                  </w:r>
                </w:p>
              </w:tc>
              <w:tc>
                <w:tcPr>
                  <w:tcW w:w="1139"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rPr>
                    <w:t>310.3t/a</w:t>
                  </w:r>
                </w:p>
              </w:tc>
              <w:tc>
                <w:tcPr>
                  <w:tcW w:w="1104" w:type="pct"/>
                  <w:vMerge w:val="restart"/>
                  <w:tcBorders>
                    <w:top w:val="nil"/>
                    <w:left w:val="nil"/>
                    <w:bottom w:val="single" w:color="auto" w:sz="4" w:space="0"/>
                    <w:right w:val="single" w:color="auto" w:sz="4" w:space="0"/>
                  </w:tcBorders>
                  <w:vAlign w:val="center"/>
                </w:tcPr>
                <w:p>
                  <w:pPr>
                    <w:pStyle w:val="71"/>
                    <w:rPr>
                      <w:rFonts w:ascii="Times New Roman" w:hAnsi="Times New Roman" w:eastAsiaTheme="minorEastAsia"/>
                      <w:kern w:val="2"/>
                      <w:szCs w:val="21"/>
                      <w:u w:val="single"/>
                    </w:rPr>
                  </w:pPr>
                  <w:r>
                    <w:rPr>
                      <w:rFonts w:ascii="Times New Roman" w:hAnsi="Times New Roman" w:eastAsiaTheme="minorEastAsia"/>
                      <w:kern w:val="2"/>
                      <w:szCs w:val="21"/>
                      <w:u w:val="single"/>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860" w:type="pct"/>
                  <w:gridSpan w:val="2"/>
                  <w:vMerge w:val="continue"/>
                  <w:tcBorders>
                    <w:top w:val="nil"/>
                    <w:left w:val="nil"/>
                    <w:bottom w:val="single" w:color="auto" w:sz="4" w:space="0"/>
                    <w:right w:val="single" w:color="auto" w:sz="4" w:space="0"/>
                  </w:tcBorders>
                  <w:vAlign w:val="center"/>
                </w:tcPr>
                <w:p>
                  <w:pPr>
                    <w:widowControl/>
                    <w:jc w:val="left"/>
                    <w:rPr>
                      <w:rFonts w:cs="Times New Roman"/>
                      <w:color w:val="000000"/>
                      <w:kern w:val="0"/>
                      <w:sz w:val="21"/>
                      <w:u w:val="single"/>
                    </w:rPr>
                  </w:pPr>
                </w:p>
              </w:tc>
              <w:tc>
                <w:tcPr>
                  <w:tcW w:w="857"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砂石分离机分离后的砂石</w:t>
                  </w:r>
                </w:p>
              </w:tc>
              <w:tc>
                <w:tcPr>
                  <w:tcW w:w="746"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w:t>
                  </w:r>
                </w:p>
              </w:tc>
              <w:tc>
                <w:tcPr>
                  <w:tcW w:w="1139"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hint="eastAsia" w:ascii="Times New Roman" w:hAnsi="Times New Roman" w:cs="Times New Roman"/>
                      <w:kern w:val="2"/>
                      <w:sz w:val="21"/>
                      <w:szCs w:val="21"/>
                    </w:rPr>
                    <w:t>900</w:t>
                  </w:r>
                  <w:r>
                    <w:rPr>
                      <w:rFonts w:ascii="Times New Roman" w:hAnsi="Times New Roman" w:cs="Times New Roman"/>
                      <w:kern w:val="2"/>
                      <w:sz w:val="21"/>
                      <w:szCs w:val="21"/>
                    </w:rPr>
                    <w:t>t/a</w:t>
                  </w:r>
                </w:p>
              </w:tc>
              <w:tc>
                <w:tcPr>
                  <w:tcW w:w="1104" w:type="pct"/>
                  <w:vMerge w:val="continue"/>
                  <w:tcBorders>
                    <w:top w:val="nil"/>
                    <w:left w:val="nil"/>
                    <w:bottom w:val="single" w:color="auto" w:sz="4" w:space="0"/>
                    <w:right w:val="single" w:color="auto" w:sz="4" w:space="0"/>
                  </w:tcBorders>
                  <w:vAlign w:val="center"/>
                </w:tcPr>
                <w:p>
                  <w:pPr>
                    <w:widowControl/>
                    <w:jc w:val="left"/>
                    <w:rPr>
                      <w:rFonts w:cs="Times New Roman"/>
                      <w:kern w:val="0"/>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860" w:type="pct"/>
                  <w:gridSpan w:val="2"/>
                  <w:vMerge w:val="continue"/>
                  <w:tcBorders>
                    <w:top w:val="nil"/>
                    <w:left w:val="nil"/>
                    <w:bottom w:val="single" w:color="auto" w:sz="4" w:space="0"/>
                    <w:right w:val="single" w:color="auto" w:sz="4" w:space="0"/>
                  </w:tcBorders>
                  <w:vAlign w:val="center"/>
                </w:tcPr>
                <w:p>
                  <w:pPr>
                    <w:widowControl/>
                    <w:jc w:val="left"/>
                    <w:rPr>
                      <w:rFonts w:cs="Times New Roman"/>
                      <w:color w:val="000000"/>
                      <w:kern w:val="0"/>
                      <w:sz w:val="21"/>
                      <w:u w:val="single"/>
                    </w:rPr>
                  </w:pPr>
                </w:p>
              </w:tc>
              <w:tc>
                <w:tcPr>
                  <w:tcW w:w="857"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沉淀池沉淀泥砂</w:t>
                  </w:r>
                </w:p>
              </w:tc>
              <w:tc>
                <w:tcPr>
                  <w:tcW w:w="746"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w:t>
                  </w:r>
                </w:p>
              </w:tc>
              <w:tc>
                <w:tcPr>
                  <w:tcW w:w="1139"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hint="eastAsia" w:ascii="Times New Roman" w:hAnsi="Times New Roman" w:cs="Times New Roman"/>
                      <w:kern w:val="2"/>
                      <w:sz w:val="21"/>
                      <w:szCs w:val="21"/>
                      <w:u w:color="246BFF"/>
                    </w:rPr>
                    <w:t>2.27</w:t>
                  </w:r>
                  <w:r>
                    <w:rPr>
                      <w:rFonts w:ascii="Times New Roman" w:hAnsi="Times New Roman" w:cs="Times New Roman"/>
                      <w:kern w:val="2"/>
                      <w:sz w:val="21"/>
                      <w:szCs w:val="21"/>
                    </w:rPr>
                    <w:t>t/a</w:t>
                  </w:r>
                </w:p>
              </w:tc>
              <w:tc>
                <w:tcPr>
                  <w:tcW w:w="1104" w:type="pct"/>
                  <w:vMerge w:val="continue"/>
                  <w:tcBorders>
                    <w:top w:val="nil"/>
                    <w:left w:val="nil"/>
                    <w:bottom w:val="single" w:color="auto" w:sz="4" w:space="0"/>
                    <w:right w:val="single" w:color="auto" w:sz="4" w:space="0"/>
                  </w:tcBorders>
                  <w:vAlign w:val="center"/>
                </w:tcPr>
                <w:p>
                  <w:pPr>
                    <w:widowControl/>
                    <w:jc w:val="left"/>
                    <w:rPr>
                      <w:rFonts w:cs="Times New Roman"/>
                      <w:kern w:val="0"/>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u w:val="single"/>
                    </w:rPr>
                  </w:pPr>
                </w:p>
              </w:tc>
              <w:tc>
                <w:tcPr>
                  <w:tcW w:w="860" w:type="pct"/>
                  <w:gridSpan w:val="2"/>
                  <w:vMerge w:val="continue"/>
                  <w:tcBorders>
                    <w:top w:val="nil"/>
                    <w:left w:val="nil"/>
                    <w:bottom w:val="single" w:color="auto" w:sz="4" w:space="0"/>
                    <w:right w:val="single" w:color="auto" w:sz="4" w:space="0"/>
                  </w:tcBorders>
                  <w:vAlign w:val="center"/>
                </w:tcPr>
                <w:p>
                  <w:pPr>
                    <w:widowControl/>
                    <w:jc w:val="left"/>
                    <w:rPr>
                      <w:rFonts w:cs="Times New Roman"/>
                      <w:color w:val="000000"/>
                      <w:kern w:val="0"/>
                      <w:sz w:val="21"/>
                      <w:u w:val="single"/>
                    </w:rPr>
                  </w:pPr>
                </w:p>
              </w:tc>
              <w:tc>
                <w:tcPr>
                  <w:tcW w:w="857"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实验废料</w:t>
                  </w:r>
                </w:p>
              </w:tc>
              <w:tc>
                <w:tcPr>
                  <w:tcW w:w="746"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w:t>
                  </w:r>
                </w:p>
              </w:tc>
              <w:tc>
                <w:tcPr>
                  <w:tcW w:w="1139" w:type="pct"/>
                  <w:tcBorders>
                    <w:top w:val="single" w:color="auto" w:sz="4" w:space="0"/>
                    <w:left w:val="nil"/>
                    <w:bottom w:val="single" w:color="auto" w:sz="4" w:space="0"/>
                    <w:right w:val="single" w:color="auto" w:sz="4" w:space="0"/>
                  </w:tcBorders>
                  <w:vAlign w:val="center"/>
                </w:tcPr>
                <w:p>
                  <w:pPr>
                    <w:pStyle w:val="82"/>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500t/a</w:t>
                  </w:r>
                </w:p>
              </w:tc>
              <w:tc>
                <w:tcPr>
                  <w:tcW w:w="1104" w:type="pct"/>
                  <w:vMerge w:val="continue"/>
                  <w:tcBorders>
                    <w:top w:val="nil"/>
                    <w:left w:val="nil"/>
                    <w:bottom w:val="single" w:color="auto" w:sz="4" w:space="0"/>
                    <w:right w:val="single" w:color="auto" w:sz="4" w:space="0"/>
                  </w:tcBorders>
                  <w:vAlign w:val="center"/>
                </w:tcPr>
                <w:p>
                  <w:pPr>
                    <w:widowControl/>
                    <w:jc w:val="left"/>
                    <w:rPr>
                      <w:rFonts w:cs="Times New Roman"/>
                      <w:kern w:val="0"/>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cs="Times New Roman"/>
                      <w:sz w:val="21"/>
                      <w:u w:val="single"/>
                    </w:rPr>
                  </w:pPr>
                  <w:r>
                    <w:rPr>
                      <w:rFonts w:cs="Times New Roman"/>
                      <w:sz w:val="21"/>
                      <w:u w:val="single"/>
                    </w:rPr>
                    <w:t>噪声</w:t>
                  </w:r>
                </w:p>
              </w:tc>
              <w:tc>
                <w:tcPr>
                  <w:tcW w:w="4707" w:type="pct"/>
                  <w:gridSpan w:val="6"/>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机械设备运行噪声及进出厂车辆噪声，声压级70~90dB（A）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cs="Times New Roman"/>
                      <w:sz w:val="21"/>
                      <w:u w:val="single"/>
                    </w:rPr>
                  </w:pPr>
                  <w:r>
                    <w:rPr>
                      <w:rFonts w:cs="Times New Roman"/>
                      <w:sz w:val="21"/>
                      <w:u w:val="single"/>
                    </w:rPr>
                    <w:t>其他</w:t>
                  </w:r>
                </w:p>
              </w:tc>
              <w:tc>
                <w:tcPr>
                  <w:tcW w:w="4707" w:type="pct"/>
                  <w:gridSpan w:val="6"/>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u w:val="single"/>
                    </w:rPr>
                  </w:pPr>
                  <w:r>
                    <w:rPr>
                      <w:rFonts w:cs="Times New Roman"/>
                      <w:sz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op w:val="single" w:color="auto" w:sz="4" w:space="0"/>
                    <w:left w:val="single" w:color="auto" w:sz="4" w:space="0"/>
                    <w:bottom w:val="single" w:color="auto" w:sz="4" w:space="0"/>
                    <w:right w:val="single" w:color="auto" w:sz="4" w:space="0"/>
                  </w:tcBorders>
                  <w:vAlign w:val="center"/>
                </w:tcPr>
                <w:p>
                  <w:pPr>
                    <w:adjustRightInd w:val="0"/>
                    <w:snapToGrid w:val="0"/>
                    <w:ind w:firstLine="420" w:firstLineChars="200"/>
                    <w:rPr>
                      <w:rFonts w:cs="Times New Roman"/>
                      <w:sz w:val="21"/>
                    </w:rPr>
                  </w:pPr>
                  <w:r>
                    <w:rPr>
                      <w:rFonts w:cs="Times New Roman" w:asciiTheme="minorEastAsia" w:hAnsiTheme="minorEastAsia"/>
                      <w:sz w:val="21"/>
                      <w:szCs w:val="21"/>
                    </w:rPr>
                    <w:t>本项目搬迁后，原址建筑为活动板房全部拆除，生产设备全部处理，新建厂房设备全部重新购买，污染物不复存在，</w:t>
                  </w:r>
                  <w:r>
                    <w:rPr>
                      <w:rFonts w:hint="eastAsia" w:cs="Times New Roman" w:asciiTheme="minorEastAsia" w:hAnsiTheme="minorEastAsia"/>
                      <w:sz w:val="21"/>
                      <w:szCs w:val="21"/>
                    </w:rPr>
                    <w:t>已</w:t>
                  </w:r>
                  <w:r>
                    <w:rPr>
                      <w:rFonts w:cs="Times New Roman" w:asciiTheme="minorEastAsia" w:hAnsiTheme="minorEastAsia"/>
                      <w:sz w:val="21"/>
                      <w:szCs w:val="21"/>
                    </w:rPr>
                    <w:t>按环保要求恢复原状，不会存在明显遗留环境问题。</w:t>
                  </w:r>
                </w:p>
              </w:tc>
            </w:tr>
          </w:tbl>
          <w:p>
            <w:pPr>
              <w:adjustRightInd w:val="0"/>
              <w:snapToGrid w:val="0"/>
              <w:spacing w:line="360" w:lineRule="auto"/>
              <w:ind w:firstLine="480" w:firstLineChars="200"/>
              <w:rPr>
                <w:rFonts w:cs="Times New Roman"/>
                <w:szCs w:val="24"/>
              </w:rPr>
            </w:pPr>
            <w:r>
              <w:rPr>
                <w:rFonts w:cs="Times New Roman"/>
              </w:rPr>
              <w:t>2、原</w:t>
            </w:r>
            <w:r>
              <w:rPr>
                <w:rFonts w:cs="Times New Roman"/>
                <w:szCs w:val="24"/>
              </w:rPr>
              <w:t>厂区污染情况及主要环境问题</w:t>
            </w:r>
          </w:p>
          <w:p>
            <w:pPr>
              <w:adjustRightInd w:val="0"/>
              <w:snapToGrid w:val="0"/>
              <w:spacing w:line="360" w:lineRule="auto"/>
              <w:ind w:firstLine="480" w:firstLineChars="200"/>
              <w:rPr>
                <w:rFonts w:cs="Times New Roman"/>
                <w:szCs w:val="24"/>
                <w:u w:val="single"/>
              </w:rPr>
            </w:pPr>
            <w:r>
              <w:rPr>
                <w:rFonts w:cs="Times New Roman"/>
                <w:szCs w:val="24"/>
                <w:u w:val="single"/>
              </w:rPr>
              <w:t>本项目为搬迁新建项目，目前原厂已经拆除，新的场地为并未利用的荒地，场地内不存在原有污染。</w:t>
            </w:r>
          </w:p>
          <w:p>
            <w:pPr>
              <w:pStyle w:val="15"/>
              <w:rPr>
                <w:rFonts w:cs="Times New Roman" w:eastAsiaTheme="minorEastAsia"/>
                <w:sz w:val="21"/>
                <w:szCs w:val="21"/>
              </w:rPr>
            </w:pPr>
          </w:p>
          <w:p>
            <w:pPr>
              <w:adjustRightInd w:val="0"/>
              <w:snapToGrid w:val="0"/>
              <w:spacing w:line="360" w:lineRule="auto"/>
              <w:ind w:firstLine="480" w:firstLineChars="200"/>
              <w:rPr>
                <w:rFonts w:cs="Times New Roman"/>
              </w:rPr>
            </w:pPr>
          </w:p>
          <w:p>
            <w:pPr>
              <w:adjustRightInd w:val="0"/>
              <w:snapToGrid w:val="0"/>
              <w:spacing w:line="360" w:lineRule="auto"/>
              <w:ind w:firstLine="480" w:firstLineChars="200"/>
              <w:rPr>
                <w:rFonts w:cs="Times New Roman"/>
              </w:rPr>
            </w:pPr>
          </w:p>
          <w:p>
            <w:pPr>
              <w:adjustRightInd w:val="0"/>
              <w:snapToGrid w:val="0"/>
              <w:spacing w:line="360" w:lineRule="auto"/>
              <w:ind w:firstLine="480" w:firstLineChars="200"/>
              <w:rPr>
                <w:rFonts w:cs="Times New Roman"/>
              </w:rPr>
            </w:pPr>
          </w:p>
          <w:p>
            <w:pPr>
              <w:adjustRightInd w:val="0"/>
              <w:snapToGrid w:val="0"/>
              <w:spacing w:line="360" w:lineRule="auto"/>
              <w:ind w:firstLine="480" w:firstLineChars="200"/>
              <w:rPr>
                <w:rFonts w:cs="Times New Roman"/>
              </w:rPr>
            </w:pPr>
          </w:p>
          <w:p>
            <w:pPr>
              <w:spacing w:line="360" w:lineRule="auto"/>
              <w:rPr>
                <w:rFonts w:cs="Times New Roman"/>
                <w:color w:val="000000" w:themeColor="text1"/>
              </w:rPr>
            </w:pPr>
          </w:p>
        </w:tc>
      </w:tr>
    </w:tbl>
    <w:p>
      <w:pPr>
        <w:pStyle w:val="4"/>
        <w:numPr>
          <w:ilvl w:val="0"/>
          <w:numId w:val="0"/>
        </w:numPr>
        <w:adjustRightInd w:val="0"/>
        <w:snapToGrid w:val="0"/>
        <w:ind w:left="432"/>
        <w:rPr>
          <w:rFonts w:cs="Times New Roman" w:eastAsiaTheme="minorEastAsia"/>
          <w:color w:val="000000" w:themeColor="text1"/>
        </w:rPr>
      </w:pPr>
      <w:bookmarkStart w:id="5" w:name="_Toc14320"/>
    </w:p>
    <w:p>
      <w:pPr>
        <w:pStyle w:val="4"/>
        <w:rPr>
          <w:rFonts w:cs="Times New Roman" w:eastAsiaTheme="minorEastAsia"/>
          <w:color w:val="000000" w:themeColor="text1"/>
        </w:rPr>
      </w:pPr>
      <w:r>
        <w:rPr>
          <w:rFonts w:cs="Times New Roman" w:eastAsiaTheme="minorEastAsia"/>
          <w:color w:val="000000" w:themeColor="text1"/>
        </w:rPr>
        <w:t>建设项目所在地自然环境社会环境简况</w:t>
      </w:r>
      <w:bookmarkEnd w:id="5"/>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9" w:hRule="atLeast"/>
        </w:trPr>
        <w:tc>
          <w:tcPr>
            <w:tcW w:w="5000" w:type="pct"/>
          </w:tcPr>
          <w:p>
            <w:pPr>
              <w:pStyle w:val="6"/>
              <w:snapToGrid w:val="0"/>
              <w:rPr>
                <w:rFonts w:cs="Times New Roman"/>
                <w:color w:val="000000" w:themeColor="text1"/>
              </w:rPr>
            </w:pPr>
            <w:r>
              <w:rPr>
                <w:rFonts w:cs="Times New Roman"/>
                <w:color w:val="000000" w:themeColor="text1"/>
              </w:rPr>
              <w:t>自然环境简况（地形、地貌、地质、气候、气象、水文、植被、生物多样性等）：</w:t>
            </w:r>
          </w:p>
          <w:p>
            <w:pPr>
              <w:pStyle w:val="7"/>
              <w:snapToGrid w:val="0"/>
              <w:rPr>
                <w:rFonts w:cs="Times New Roman" w:eastAsiaTheme="minorEastAsia"/>
                <w:color w:val="000000" w:themeColor="text1"/>
              </w:rPr>
            </w:pPr>
            <w:r>
              <w:rPr>
                <w:rFonts w:cs="Times New Roman" w:eastAsiaTheme="minorEastAsia"/>
                <w:color w:val="000000" w:themeColor="text1"/>
              </w:rPr>
              <w:t>地理位置</w:t>
            </w:r>
          </w:p>
          <w:p>
            <w:pPr>
              <w:snapToGrid w:val="0"/>
              <w:spacing w:line="360" w:lineRule="auto"/>
              <w:ind w:firstLine="480" w:firstLineChars="200"/>
              <w:jc w:val="left"/>
              <w:rPr>
                <w:rFonts w:cs="Times New Roman"/>
                <w:szCs w:val="24"/>
              </w:rPr>
            </w:pPr>
            <w:r>
              <w:rPr>
                <w:rFonts w:cs="Times New Roman"/>
                <w:szCs w:val="24"/>
              </w:rPr>
              <w:t>岳阳位于湖南省东北部</w:t>
            </w:r>
            <w:r>
              <w:rPr>
                <w:rFonts w:cs="Times New Roman"/>
                <w:spacing w:val="-14"/>
                <w:szCs w:val="24"/>
              </w:rPr>
              <w:t>，</w:t>
            </w:r>
            <w:r>
              <w:rPr>
                <w:rFonts w:cs="Times New Roman"/>
                <w:szCs w:val="24"/>
              </w:rPr>
              <w:t>素称</w:t>
            </w:r>
            <w:r>
              <w:rPr>
                <w:rFonts w:cs="Times New Roman"/>
                <w:spacing w:val="-1"/>
                <w:szCs w:val="24"/>
              </w:rPr>
              <w:t>“</w:t>
            </w:r>
            <w:r>
              <w:rPr>
                <w:rFonts w:cs="Times New Roman"/>
                <w:szCs w:val="24"/>
              </w:rPr>
              <w:t>湘北门户</w:t>
            </w:r>
            <w:r>
              <w:rPr>
                <w:rFonts w:cs="Times New Roman"/>
                <w:spacing w:val="2"/>
                <w:szCs w:val="24"/>
              </w:rPr>
              <w:t>”</w:t>
            </w:r>
            <w:r>
              <w:rPr>
                <w:rFonts w:cs="Times New Roman"/>
                <w:spacing w:val="-14"/>
                <w:szCs w:val="24"/>
              </w:rPr>
              <w:t>，</w:t>
            </w:r>
            <w:r>
              <w:rPr>
                <w:rFonts w:cs="Times New Roman"/>
                <w:szCs w:val="24"/>
              </w:rPr>
              <w:t>总面积</w:t>
            </w:r>
            <w:r>
              <w:rPr>
                <w:rFonts w:cs="Times New Roman"/>
                <w:spacing w:val="-13"/>
                <w:szCs w:val="24"/>
              </w:rPr>
              <w:t>1.5</w:t>
            </w:r>
            <w:r>
              <w:rPr>
                <w:rFonts w:cs="Times New Roman"/>
                <w:szCs w:val="24"/>
              </w:rPr>
              <w:t>万k</w:t>
            </w:r>
            <w:r>
              <w:rPr>
                <w:rFonts w:cs="Times New Roman"/>
                <w:spacing w:val="1"/>
                <w:szCs w:val="24"/>
              </w:rPr>
              <w:t>m</w:t>
            </w:r>
            <w:r>
              <w:rPr>
                <w:rFonts w:cs="Times New Roman"/>
                <w:spacing w:val="1"/>
                <w:szCs w:val="24"/>
                <w:vertAlign w:val="superscript"/>
              </w:rPr>
              <w:t>2</w:t>
            </w:r>
            <w:r>
              <w:rPr>
                <w:rFonts w:cs="Times New Roman"/>
                <w:spacing w:val="-14"/>
                <w:szCs w:val="24"/>
              </w:rPr>
              <w:t>。</w:t>
            </w:r>
            <w:r>
              <w:rPr>
                <w:rFonts w:cs="Times New Roman"/>
                <w:szCs w:val="24"/>
              </w:rPr>
              <w:t>岳阳市地处长江中游南岸，怀抱洞庭湖，是湖南唯一临江口岸城市，处于一江</w:t>
            </w:r>
            <w:r>
              <w:rPr>
                <w:rFonts w:cs="Times New Roman"/>
                <w:spacing w:val="-1"/>
                <w:szCs w:val="24"/>
              </w:rPr>
              <w:t>(</w:t>
            </w:r>
            <w:r>
              <w:rPr>
                <w:rFonts w:cs="Times New Roman"/>
                <w:szCs w:val="24"/>
              </w:rPr>
              <w:t>长江</w:t>
            </w:r>
            <w:r>
              <w:rPr>
                <w:rFonts w:cs="Times New Roman"/>
                <w:spacing w:val="2"/>
                <w:szCs w:val="24"/>
              </w:rPr>
              <w:t>)</w:t>
            </w:r>
            <w:r>
              <w:rPr>
                <w:rFonts w:cs="Times New Roman"/>
                <w:szCs w:val="24"/>
              </w:rPr>
              <w:t>、两线</w:t>
            </w:r>
            <w:r>
              <w:rPr>
                <w:rFonts w:cs="Times New Roman"/>
                <w:spacing w:val="-1"/>
                <w:szCs w:val="24"/>
              </w:rPr>
              <w:t>(</w:t>
            </w:r>
            <w:r>
              <w:rPr>
                <w:rFonts w:cs="Times New Roman"/>
                <w:szCs w:val="24"/>
              </w:rPr>
              <w:t>京广铁路、京珠高速公路</w:t>
            </w:r>
            <w:r>
              <w:rPr>
                <w:rFonts w:cs="Times New Roman"/>
                <w:spacing w:val="-1"/>
                <w:szCs w:val="24"/>
              </w:rPr>
              <w:t>)</w:t>
            </w:r>
            <w:r>
              <w:rPr>
                <w:rFonts w:cs="Times New Roman"/>
                <w:spacing w:val="-10"/>
                <w:szCs w:val="24"/>
              </w:rPr>
              <w:t>、</w:t>
            </w:r>
            <w:r>
              <w:rPr>
                <w:rFonts w:cs="Times New Roman"/>
                <w:szCs w:val="24"/>
              </w:rPr>
              <w:t>三省</w:t>
            </w:r>
            <w:r>
              <w:rPr>
                <w:rFonts w:cs="Times New Roman"/>
                <w:spacing w:val="-1"/>
                <w:szCs w:val="24"/>
              </w:rPr>
              <w:t>(</w:t>
            </w:r>
            <w:r>
              <w:rPr>
                <w:rFonts w:cs="Times New Roman"/>
                <w:szCs w:val="24"/>
              </w:rPr>
              <w:t>湘</w:t>
            </w:r>
            <w:r>
              <w:rPr>
                <w:rFonts w:cs="Times New Roman"/>
                <w:spacing w:val="-10"/>
                <w:szCs w:val="24"/>
              </w:rPr>
              <w:t>、</w:t>
            </w:r>
            <w:r>
              <w:rPr>
                <w:rFonts w:cs="Times New Roman"/>
                <w:szCs w:val="24"/>
              </w:rPr>
              <w:t>鄂</w:t>
            </w:r>
            <w:r>
              <w:rPr>
                <w:rFonts w:cs="Times New Roman"/>
                <w:spacing w:val="-10"/>
                <w:szCs w:val="24"/>
              </w:rPr>
              <w:t>、</w:t>
            </w:r>
            <w:r>
              <w:rPr>
                <w:rFonts w:cs="Times New Roman"/>
                <w:szCs w:val="24"/>
              </w:rPr>
              <w:t>赣</w:t>
            </w:r>
            <w:r>
              <w:rPr>
                <w:rFonts w:cs="Times New Roman"/>
                <w:spacing w:val="-1"/>
                <w:szCs w:val="24"/>
              </w:rPr>
              <w:t>)</w:t>
            </w:r>
            <w:r>
              <w:rPr>
                <w:rFonts w:cs="Times New Roman"/>
                <w:spacing w:val="-10"/>
                <w:szCs w:val="24"/>
              </w:rPr>
              <w:t>、</w:t>
            </w:r>
            <w:r>
              <w:rPr>
                <w:rFonts w:cs="Times New Roman"/>
                <w:szCs w:val="24"/>
              </w:rPr>
              <w:t>四水</w:t>
            </w:r>
            <w:r>
              <w:rPr>
                <w:rFonts w:cs="Times New Roman"/>
                <w:spacing w:val="-1"/>
                <w:szCs w:val="24"/>
              </w:rPr>
              <w:t>(</w:t>
            </w:r>
            <w:r>
              <w:rPr>
                <w:rFonts w:cs="Times New Roman"/>
                <w:szCs w:val="24"/>
              </w:rPr>
              <w:t>湘</w:t>
            </w:r>
            <w:r>
              <w:rPr>
                <w:rFonts w:cs="Times New Roman"/>
                <w:spacing w:val="-10"/>
                <w:szCs w:val="24"/>
              </w:rPr>
              <w:t>、</w:t>
            </w:r>
            <w:r>
              <w:rPr>
                <w:rFonts w:cs="Times New Roman"/>
                <w:szCs w:val="24"/>
              </w:rPr>
              <w:t>资</w:t>
            </w:r>
            <w:r>
              <w:rPr>
                <w:rFonts w:cs="Times New Roman"/>
                <w:spacing w:val="-12"/>
                <w:szCs w:val="24"/>
              </w:rPr>
              <w:t>、</w:t>
            </w:r>
            <w:r>
              <w:rPr>
                <w:rFonts w:cs="Times New Roman"/>
                <w:szCs w:val="24"/>
              </w:rPr>
              <w:t>沅</w:t>
            </w:r>
            <w:r>
              <w:rPr>
                <w:rFonts w:cs="Times New Roman"/>
                <w:spacing w:val="-10"/>
                <w:szCs w:val="24"/>
              </w:rPr>
              <w:t>、</w:t>
            </w:r>
            <w:r>
              <w:rPr>
                <w:rFonts w:cs="Times New Roman"/>
                <w:szCs w:val="24"/>
              </w:rPr>
              <w:t>澧</w:t>
            </w:r>
            <w:r>
              <w:rPr>
                <w:rFonts w:cs="Times New Roman"/>
                <w:spacing w:val="2"/>
                <w:szCs w:val="24"/>
              </w:rPr>
              <w:t>)</w:t>
            </w:r>
            <w:r>
              <w:rPr>
                <w:rFonts w:cs="Times New Roman"/>
                <w:szCs w:val="24"/>
              </w:rPr>
              <w:t>交汇处</w:t>
            </w:r>
            <w:r>
              <w:rPr>
                <w:rFonts w:cs="Times New Roman"/>
                <w:spacing w:val="-12"/>
                <w:szCs w:val="24"/>
              </w:rPr>
              <w:t>。</w:t>
            </w:r>
            <w:r>
              <w:rPr>
                <w:rFonts w:cs="Times New Roman"/>
                <w:szCs w:val="24"/>
              </w:rPr>
              <w:t>城陵矶港东距武汉港230k</w:t>
            </w:r>
            <w:r>
              <w:rPr>
                <w:rFonts w:cs="Times New Roman"/>
                <w:spacing w:val="1"/>
                <w:szCs w:val="24"/>
              </w:rPr>
              <w:t>m</w:t>
            </w:r>
            <w:r>
              <w:rPr>
                <w:rFonts w:cs="Times New Roman"/>
                <w:spacing w:val="-10"/>
                <w:szCs w:val="24"/>
              </w:rPr>
              <w:t>、</w:t>
            </w:r>
            <w:r>
              <w:rPr>
                <w:rFonts w:cs="Times New Roman"/>
                <w:szCs w:val="24"/>
              </w:rPr>
              <w:t>距上海港1034k</w:t>
            </w:r>
            <w:r>
              <w:rPr>
                <w:rFonts w:cs="Times New Roman"/>
                <w:spacing w:val="1"/>
                <w:szCs w:val="24"/>
              </w:rPr>
              <w:t>m</w:t>
            </w:r>
            <w:r>
              <w:rPr>
                <w:rFonts w:cs="Times New Roman"/>
                <w:spacing w:val="-26"/>
                <w:szCs w:val="24"/>
              </w:rPr>
              <w:t>，</w:t>
            </w:r>
            <w:r>
              <w:rPr>
                <w:rFonts w:cs="Times New Roman"/>
                <w:szCs w:val="24"/>
              </w:rPr>
              <w:t>西距重庆港1356k</w:t>
            </w:r>
            <w:r>
              <w:rPr>
                <w:rFonts w:cs="Times New Roman"/>
                <w:spacing w:val="1"/>
                <w:szCs w:val="24"/>
              </w:rPr>
              <w:t>m</w:t>
            </w:r>
            <w:r>
              <w:rPr>
                <w:rFonts w:cs="Times New Roman"/>
                <w:spacing w:val="-29"/>
                <w:szCs w:val="24"/>
              </w:rPr>
              <w:t>，</w:t>
            </w:r>
            <w:r>
              <w:rPr>
                <w:rFonts w:cs="Times New Roman"/>
                <w:szCs w:val="24"/>
              </w:rPr>
              <w:t>通过一湖四水沟通湖南74个县市</w:t>
            </w:r>
            <w:r>
              <w:rPr>
                <w:rFonts w:cs="Times New Roman"/>
                <w:spacing w:val="-26"/>
                <w:szCs w:val="24"/>
              </w:rPr>
              <w:t>，</w:t>
            </w:r>
            <w:r>
              <w:rPr>
                <w:rFonts w:cs="Times New Roman"/>
                <w:szCs w:val="24"/>
              </w:rPr>
              <w:t>把全省80</w:t>
            </w:r>
            <w:r>
              <w:rPr>
                <w:rFonts w:cs="Times New Roman"/>
                <w:spacing w:val="-1"/>
                <w:szCs w:val="24"/>
              </w:rPr>
              <w:t>%</w:t>
            </w:r>
            <w:r>
              <w:rPr>
                <w:rFonts w:cs="Times New Roman"/>
                <w:szCs w:val="24"/>
              </w:rPr>
              <w:t>的地域与长江大动脉连成一体，即是长江八大深水良纲之一，也是湖南内河交通的总枢纽和咽喉。</w:t>
            </w:r>
          </w:p>
          <w:p>
            <w:pPr>
              <w:pStyle w:val="31"/>
              <w:snapToGrid w:val="0"/>
              <w:spacing w:after="0" w:line="360" w:lineRule="auto"/>
              <w:ind w:firstLine="480" w:firstLineChars="200"/>
              <w:jc w:val="left"/>
              <w:rPr>
                <w:rFonts w:cs="Times New Roman"/>
                <w:szCs w:val="24"/>
              </w:rPr>
            </w:pPr>
            <w:r>
              <w:rPr>
                <w:rFonts w:cs="Times New Roman"/>
              </w:rPr>
              <w:t>湖南城陵矶临港产业新区位于岳阳市中心城区北部，东接云溪区云溪镇，南连市中心城区城陵矶片区和芭蕉湖北岸</w:t>
            </w:r>
            <w:r>
              <w:rPr>
                <w:rFonts w:cs="Times New Roman"/>
                <w:spacing w:val="-2"/>
              </w:rPr>
              <w:t>，</w:t>
            </w:r>
            <w:r>
              <w:rPr>
                <w:rFonts w:cs="Times New Roman"/>
              </w:rPr>
              <w:t>西起长江东岸线</w:t>
            </w:r>
            <w:r>
              <w:rPr>
                <w:rFonts w:cs="Times New Roman"/>
                <w:spacing w:val="-5"/>
              </w:rPr>
              <w:t>，</w:t>
            </w:r>
            <w:r>
              <w:rPr>
                <w:rFonts w:cs="Times New Roman"/>
              </w:rPr>
              <w:t>规划控制范围为100k</w:t>
            </w:r>
            <w:r>
              <w:rPr>
                <w:rFonts w:cs="Times New Roman"/>
                <w:spacing w:val="1"/>
              </w:rPr>
              <w:t>m</w:t>
            </w:r>
            <w:r>
              <w:rPr>
                <w:rFonts w:cs="Times New Roman"/>
                <w:spacing w:val="1"/>
                <w:vertAlign w:val="superscript"/>
              </w:rPr>
              <w:t>2</w:t>
            </w:r>
            <w:r>
              <w:rPr>
                <w:rFonts w:cs="Times New Roman"/>
                <w:spacing w:val="-2"/>
              </w:rPr>
              <w:t>，</w:t>
            </w:r>
            <w:r>
              <w:rPr>
                <w:rFonts w:cs="Times New Roman"/>
              </w:rPr>
              <w:t>规划建设用地范围为69k</w:t>
            </w:r>
            <w:r>
              <w:rPr>
                <w:rFonts w:cs="Times New Roman"/>
                <w:spacing w:val="1"/>
              </w:rPr>
              <w:t>m</w:t>
            </w:r>
            <w:r>
              <w:rPr>
                <w:rFonts w:cs="Times New Roman"/>
                <w:spacing w:val="1"/>
                <w:vertAlign w:val="superscript"/>
              </w:rPr>
              <w:t>2</w:t>
            </w:r>
            <w:r>
              <w:rPr>
                <w:rFonts w:cs="Times New Roman"/>
              </w:rPr>
              <w:t>。项目选址于湖南省岳阳市城陵矶新港区长江大道与环湖路交汇处，具体位置详见附图1。</w:t>
            </w:r>
          </w:p>
          <w:p>
            <w:pPr>
              <w:pStyle w:val="7"/>
              <w:snapToGrid w:val="0"/>
              <w:rPr>
                <w:rFonts w:cs="Times New Roman" w:eastAsiaTheme="minorEastAsia"/>
                <w:color w:val="000000" w:themeColor="text1"/>
              </w:rPr>
            </w:pPr>
            <w:r>
              <w:rPr>
                <w:rFonts w:cs="Times New Roman" w:eastAsiaTheme="minorEastAsia"/>
                <w:color w:val="000000" w:themeColor="text1"/>
              </w:rPr>
              <w:t>地形、地质、地貌</w:t>
            </w:r>
          </w:p>
          <w:p>
            <w:pPr>
              <w:snapToGrid w:val="0"/>
              <w:spacing w:line="360" w:lineRule="auto"/>
              <w:ind w:firstLine="480" w:firstLineChars="200"/>
              <w:jc w:val="left"/>
              <w:rPr>
                <w:rFonts w:cs="Times New Roman"/>
                <w:kern w:val="0"/>
                <w:szCs w:val="24"/>
              </w:rPr>
            </w:pPr>
            <w:r>
              <w:rPr>
                <w:rFonts w:cs="Times New Roman"/>
                <w:kern w:val="0"/>
                <w:szCs w:val="24"/>
              </w:rPr>
              <w:t>岳阳地区在大地构造上东靠幕阜山隆起，西临洞庭湖~江汉坳陷区，沙湖~湘阴断裂为该两构造单元的分界线，整个地势东南高，西北低。荆江段、洞庭湖段和长江段北岸，属荆江、洞庭湖冲积平原。早更新世以来，地壳不断下沉，接纳了一套砾石泥质沉积。洞庭湖段和长江段南岸属剥蚀堆积低山丘陵区。全新世以来，位于沙湖~湘阴大断层工部的地区开始上升，使更新世的沉积物普露地表。幕阜山余脉绵延于东、北两面，呈现东西走向，山顶浑圆，山坡平缓。境内岗丘起伏，湖汊纵横，海拔高程一般为30~100m。</w:t>
            </w:r>
          </w:p>
          <w:p>
            <w:pPr>
              <w:snapToGrid w:val="0"/>
              <w:spacing w:line="360" w:lineRule="auto"/>
              <w:ind w:firstLine="480" w:firstLineChars="200"/>
              <w:jc w:val="left"/>
              <w:rPr>
                <w:rFonts w:cs="Times New Roman"/>
                <w:kern w:val="0"/>
                <w:szCs w:val="24"/>
              </w:rPr>
            </w:pPr>
            <w:r>
              <w:rPr>
                <w:rFonts w:cs="Times New Roman"/>
                <w:kern w:val="0"/>
                <w:szCs w:val="24"/>
              </w:rPr>
              <w:t>岳阳城陵矶临港产业新区所在地属河流和湖泊冲击平原，地势平坦，土层深厚，土质肥沃。地面标高平均为黄海高程27~29m。地层为第四系冲积沉积层，下为前震系构成，下伏基层为板岩和千枚岩，有较强风化，地基承载力一般为 120~220KPa。根据《中国地震动参数区划图(GB18306-2001)》，查得项目区域地震动峰值加速度为0.1，项目区地震动反应谱特征周期为0.35s，抗震设防烈度为7度。建筑物按7度设防。</w:t>
            </w:r>
          </w:p>
          <w:p>
            <w:pPr>
              <w:jc w:val="left"/>
              <w:rPr>
                <w:rFonts w:cs="Times New Roman"/>
              </w:rPr>
            </w:pPr>
          </w:p>
          <w:p>
            <w:pPr>
              <w:pStyle w:val="7"/>
              <w:rPr>
                <w:rFonts w:cs="Times New Roman" w:eastAsiaTheme="minorEastAsia"/>
                <w:color w:val="000000" w:themeColor="text1"/>
              </w:rPr>
            </w:pPr>
            <w:r>
              <w:rPr>
                <w:rFonts w:cs="Times New Roman" w:eastAsiaTheme="minorEastAsia"/>
                <w:color w:val="000000" w:themeColor="text1"/>
              </w:rPr>
              <w:t>水文</w:t>
            </w:r>
          </w:p>
          <w:p>
            <w:pPr>
              <w:spacing w:line="360" w:lineRule="auto"/>
              <w:ind w:firstLine="480" w:firstLineChars="200"/>
              <w:jc w:val="left"/>
              <w:rPr>
                <w:rFonts w:cs="Times New Roman"/>
                <w:szCs w:val="24"/>
              </w:rPr>
            </w:pPr>
            <w:r>
              <w:rPr>
                <w:rFonts w:cs="Times New Roman"/>
                <w:szCs w:val="24"/>
              </w:rPr>
              <w:t>区内地下水类型可分为基岩裂隙水和第四系松散地层孔隙水。前者水量贫乏，后者可分为孔隙潜水和孔隙承压水两类，孔隙潜水分布较广，主要富集于第四系松散层中，与地表水呈季节性互补关系，受江湖水位影响，动态变化大，水位一般1～5m，水量不丰富。孔隙承压水主要分布在中更新统Q2al下部透水性较强的含砾粘土及沙砾石层中，含水层厚3～8m，顶板高程一般16～19m，低于湖水位2～6m，略具承压性。根据调查资料，区域地下水位重碳酸、硫酸钾钠钙型低矿化度软水和重碳酸钾钙型低矿化度软水，对砼无侵蚀性。</w:t>
            </w:r>
          </w:p>
          <w:p>
            <w:pPr>
              <w:spacing w:line="360" w:lineRule="auto"/>
              <w:ind w:firstLine="480" w:firstLineChars="200"/>
              <w:jc w:val="left"/>
              <w:rPr>
                <w:rFonts w:cs="Times New Roman"/>
                <w:szCs w:val="24"/>
              </w:rPr>
            </w:pPr>
            <w:r>
              <w:rPr>
                <w:rFonts w:cs="Times New Roman"/>
                <w:szCs w:val="24"/>
              </w:rPr>
              <w:t>项目所在区域的城陵矶是长江中游第一矶，属“长江八大良港”之一，是长江中游水陆联运、干支联系的综合枢纽港口；湖南省水路第一门户，是湖南惟一的国家一类口岸。其地表水体发育，池塘星罗棋布，较大的地表水为长江、东洞庭湖等。由于矶头滨临江岸，南北介于东风、芭蕉两湖之间，面朝荆江，成为二面临水的岛矶。城陵矶突出江湖汇口，具有抗冲和挑流作用，是地处Y字形水道南侧的洞庭湖口节点。附近七里山，过水断面1000m，历年最高水位32.75m，是四水、四口入湖水经调蓄再度入江的唯一出口。又为江湖之间洄游性和半洄游性经济鱼类来往的通道。城陵矶是湘北内联四水、外通江海的第一港。洞庭湖四水常年有300～500吨级船队及千吨级顶推船队经此出入长江，长江干流船舶亦可于此停靠，年吞吐量约430万吨。港口有专线通京广铁路，便于水陆联运。</w:t>
            </w:r>
          </w:p>
          <w:p>
            <w:pPr>
              <w:spacing w:line="360" w:lineRule="auto"/>
              <w:ind w:firstLine="480" w:firstLineChars="200"/>
              <w:jc w:val="left"/>
              <w:rPr>
                <w:rFonts w:cs="Times New Roman"/>
                <w:szCs w:val="24"/>
              </w:rPr>
            </w:pPr>
            <w:r>
              <w:rPr>
                <w:rFonts w:cs="Times New Roman"/>
                <w:szCs w:val="24"/>
              </w:rPr>
              <w:t>1、松阳湖</w:t>
            </w:r>
          </w:p>
          <w:p>
            <w:pPr>
              <w:spacing w:line="360" w:lineRule="auto"/>
              <w:ind w:firstLine="480" w:firstLineChars="200"/>
              <w:jc w:val="left"/>
              <w:rPr>
                <w:rFonts w:cs="Times New Roman"/>
                <w:szCs w:val="24"/>
              </w:rPr>
            </w:pPr>
            <w:r>
              <w:rPr>
                <w:rFonts w:cs="Times New Roman"/>
                <w:szCs w:val="24"/>
              </w:rPr>
              <w:t>松阳湖面积：丰水期6000~8000亩左右；枯水期5000~6000亩左右，约4km</w:t>
            </w:r>
            <w:r>
              <w:rPr>
                <w:rFonts w:cs="Times New Roman"/>
                <w:szCs w:val="24"/>
                <w:vertAlign w:val="superscript"/>
              </w:rPr>
              <w:t>2</w:t>
            </w:r>
            <w:r>
              <w:rPr>
                <w:rFonts w:cs="Times New Roman"/>
                <w:szCs w:val="24"/>
              </w:rPr>
              <w:t>；</w:t>
            </w:r>
          </w:p>
          <w:p>
            <w:pPr>
              <w:spacing w:line="360" w:lineRule="auto"/>
              <w:ind w:firstLine="480" w:firstLineChars="200"/>
              <w:jc w:val="left"/>
              <w:rPr>
                <w:rFonts w:cs="Times New Roman"/>
                <w:szCs w:val="24"/>
              </w:rPr>
            </w:pPr>
            <w:r>
              <w:rPr>
                <w:rFonts w:cs="Times New Roman"/>
                <w:szCs w:val="24"/>
              </w:rPr>
              <w:t>水位：最深水位5~6m 左右；平均水位3～4m左右；</w:t>
            </w:r>
          </w:p>
          <w:p>
            <w:pPr>
              <w:spacing w:line="360" w:lineRule="auto"/>
              <w:ind w:firstLine="480" w:firstLineChars="200"/>
              <w:jc w:val="left"/>
              <w:rPr>
                <w:rFonts w:cs="Times New Roman"/>
                <w:szCs w:val="24"/>
              </w:rPr>
            </w:pPr>
            <w:r>
              <w:rPr>
                <w:rFonts w:cs="Times New Roman"/>
                <w:szCs w:val="24"/>
              </w:rPr>
              <w:t>蓄水量：丰水期21万m</w:t>
            </w:r>
            <w:r>
              <w:rPr>
                <w:rFonts w:cs="Times New Roman"/>
                <w:szCs w:val="24"/>
                <w:vertAlign w:val="superscript"/>
              </w:rPr>
              <w:t>3</w:t>
            </w:r>
            <w:r>
              <w:rPr>
                <w:rFonts w:cs="Times New Roman"/>
                <w:szCs w:val="24"/>
              </w:rPr>
              <w:t>左右；枯水期12万m</w:t>
            </w:r>
            <w:r>
              <w:rPr>
                <w:rFonts w:cs="Times New Roman"/>
                <w:szCs w:val="24"/>
                <w:vertAlign w:val="superscript"/>
              </w:rPr>
              <w:t>3</w:t>
            </w:r>
            <w:r>
              <w:rPr>
                <w:rFonts w:cs="Times New Roman"/>
                <w:szCs w:val="24"/>
              </w:rPr>
              <w:t>左右。</w:t>
            </w:r>
          </w:p>
          <w:p>
            <w:pPr>
              <w:spacing w:line="360" w:lineRule="auto"/>
              <w:ind w:firstLine="480" w:firstLineChars="200"/>
              <w:jc w:val="left"/>
              <w:rPr>
                <w:rFonts w:cs="Times New Roman"/>
                <w:szCs w:val="24"/>
              </w:rPr>
            </w:pPr>
            <w:r>
              <w:rPr>
                <w:rFonts w:cs="Times New Roman"/>
                <w:szCs w:val="24"/>
              </w:rPr>
              <w:t>2、洞庭湖</w:t>
            </w:r>
          </w:p>
          <w:p>
            <w:pPr>
              <w:spacing w:line="360" w:lineRule="auto"/>
              <w:ind w:firstLine="480" w:firstLineChars="200"/>
              <w:jc w:val="left"/>
              <w:rPr>
                <w:rFonts w:cs="Times New Roman"/>
                <w:szCs w:val="24"/>
              </w:rPr>
            </w:pPr>
            <w:r>
              <w:rPr>
                <w:rFonts w:cs="Times New Roman"/>
                <w:szCs w:val="24"/>
              </w:rPr>
              <w:t>洞庭湖地处长江中游，是我国吞吐水量最大的淡水湖泊、长江中游最重要的集水湖盆与调洪湖泊。城陵矶站水位33.5米时，洞庭湖面积2625平方公里，总容积167亿立米。根据自然形态，洞庭湖分成东洞庭湖、南洞庭湖、西洞庭湖（由目平湖、七里湖组成），对应面积分别为1313平方公里、905平方公里、407平方公里。东洞庭湖是洞庭湖泊群落中最大、保存最完好的天然季节性湖泊，东临岳阳市区、岳阳县和汨罗市，北抵长江，西靠大通湖大圈和钱粮湖大圈，南连南洞庭湖，现有水面面积1313平方公里，占洞庭湖总水面面积的50%；现有容量119亿立方米，占洞庭湖总容量的71%。我市境内洞庭湖面积1312平方公里，其中东洞庭湖920平方公里、南洞庭湖392平方公里。</w:t>
            </w:r>
          </w:p>
          <w:p>
            <w:pPr>
              <w:spacing w:line="360" w:lineRule="auto"/>
              <w:ind w:firstLine="480" w:firstLineChars="200"/>
              <w:jc w:val="left"/>
              <w:rPr>
                <w:rFonts w:cs="Times New Roman"/>
                <w:szCs w:val="24"/>
              </w:rPr>
            </w:pPr>
            <w:r>
              <w:rPr>
                <w:rFonts w:cs="Times New Roman"/>
                <w:szCs w:val="24"/>
              </w:rPr>
              <w:t>洞庭湖集三湖四水汇入长江，是岳阳市最主要的水系之一。</w:t>
            </w:r>
          </w:p>
          <w:p>
            <w:pPr>
              <w:spacing w:line="360" w:lineRule="auto"/>
              <w:ind w:firstLine="480" w:firstLineChars="200"/>
              <w:jc w:val="left"/>
              <w:rPr>
                <w:rFonts w:cs="Times New Roman"/>
                <w:szCs w:val="24"/>
              </w:rPr>
            </w:pPr>
            <w:r>
              <w:rPr>
                <w:rFonts w:cs="Times New Roman"/>
                <w:szCs w:val="24"/>
              </w:rPr>
              <w:t>3、长江</w:t>
            </w:r>
          </w:p>
          <w:p>
            <w:pPr>
              <w:spacing w:line="360" w:lineRule="auto"/>
              <w:ind w:firstLine="480" w:firstLineChars="200"/>
              <w:jc w:val="left"/>
              <w:rPr>
                <w:rFonts w:cs="Times New Roman"/>
                <w:szCs w:val="24"/>
              </w:rPr>
            </w:pPr>
            <w:r>
              <w:rPr>
                <w:rFonts w:cs="Times New Roman"/>
                <w:szCs w:val="24"/>
              </w:rPr>
              <w:t>长江全长6300余公里，总集雨面积180万平方公里，从江源到宜昌约4500公里为上游，集雨面积约100万平方公里；宜昌至九江湖口长约955公里为中游，集雨面积约68万平方公里；湖口至海口长约938公里为下游，集雨面积约12万平方公里。荆江是长江中游的一个河段,上起枝城,下至城陵矶，全长339公里，南岸有分泄长江水流的松滋、太平、藕池、调弦四口和洞庭湖吐洪入江的总出口城陵矶与洞庭湖通连。江北岸的荆江大堤上起枣林岗，下至监利城南，全长182.35公里，是江汉平原的屏障，荆江河段以藕池口为界分为上下荆江，上荆江长175.5公里，下荆江163.5公里。长江流经湖南163公里，全部在岳阳市境内（自华容县五马口至临湘市铁山咀），其中长江干堤142公里，以城陵矶（三江口）为界分成上下两段，上段由华容县五马口至君山区穆湖铺，长76.8公里，下段自莲花塘至临湘市黄盖湖铁山咀，长65.2公里。</w:t>
            </w:r>
          </w:p>
          <w:p>
            <w:pPr>
              <w:spacing w:line="360" w:lineRule="auto"/>
              <w:ind w:firstLine="480" w:firstLineChars="200"/>
              <w:jc w:val="left"/>
              <w:rPr>
                <w:rFonts w:cs="Times New Roman"/>
                <w:szCs w:val="24"/>
              </w:rPr>
            </w:pPr>
            <w:r>
              <w:rPr>
                <w:rFonts w:cs="Times New Roman"/>
                <w:szCs w:val="24"/>
              </w:rPr>
              <w:t>根据长江螺山水文站水文数据，长江在该段主要水文参数如下：</w:t>
            </w:r>
          </w:p>
          <w:p>
            <w:pPr>
              <w:spacing w:line="360" w:lineRule="auto"/>
              <w:ind w:firstLine="480" w:firstLineChars="200"/>
              <w:jc w:val="left"/>
              <w:rPr>
                <w:rFonts w:cs="Times New Roman"/>
                <w:szCs w:val="24"/>
              </w:rPr>
            </w:pPr>
            <w:r>
              <w:rPr>
                <w:rFonts w:cs="Times New Roman"/>
                <w:szCs w:val="24"/>
              </w:rPr>
              <w:t>流量：多年平均流量20300m</w:t>
            </w:r>
            <w:r>
              <w:rPr>
                <w:rFonts w:cs="Times New Roman"/>
                <w:szCs w:val="24"/>
                <w:vertAlign w:val="superscript"/>
              </w:rPr>
              <w:t>3</w:t>
            </w:r>
            <w:r>
              <w:rPr>
                <w:rFonts w:cs="Times New Roman"/>
                <w:szCs w:val="24"/>
              </w:rPr>
              <w:t>/s；</w:t>
            </w:r>
          </w:p>
          <w:p>
            <w:pPr>
              <w:spacing w:line="360" w:lineRule="auto"/>
              <w:ind w:firstLine="480" w:firstLineChars="200"/>
              <w:jc w:val="left"/>
              <w:rPr>
                <w:rFonts w:cs="Times New Roman"/>
                <w:szCs w:val="24"/>
              </w:rPr>
            </w:pPr>
            <w:r>
              <w:rPr>
                <w:rFonts w:cs="Times New Roman"/>
                <w:szCs w:val="24"/>
              </w:rPr>
              <w:t>历年最大流量：61200m</w:t>
            </w:r>
            <w:r>
              <w:rPr>
                <w:rFonts w:cs="Times New Roman"/>
                <w:szCs w:val="24"/>
                <w:vertAlign w:val="superscript"/>
              </w:rPr>
              <w:t>3</w:t>
            </w:r>
            <w:r>
              <w:rPr>
                <w:rFonts w:cs="Times New Roman"/>
                <w:szCs w:val="24"/>
              </w:rPr>
              <w:t>/s；</w:t>
            </w:r>
          </w:p>
          <w:p>
            <w:pPr>
              <w:spacing w:line="360" w:lineRule="auto"/>
              <w:ind w:firstLine="480" w:firstLineChars="200"/>
              <w:jc w:val="left"/>
              <w:rPr>
                <w:rFonts w:cs="Times New Roman"/>
                <w:szCs w:val="24"/>
              </w:rPr>
            </w:pPr>
            <w:r>
              <w:rPr>
                <w:rFonts w:cs="Times New Roman"/>
                <w:szCs w:val="24"/>
              </w:rPr>
              <w:t>历年最小流量：4190m</w:t>
            </w:r>
            <w:r>
              <w:rPr>
                <w:rFonts w:cs="Times New Roman"/>
                <w:szCs w:val="24"/>
                <w:vertAlign w:val="superscript"/>
              </w:rPr>
              <w:t>3</w:t>
            </w:r>
            <w:r>
              <w:rPr>
                <w:rFonts w:cs="Times New Roman"/>
                <w:szCs w:val="24"/>
              </w:rPr>
              <w:t>/s；</w:t>
            </w:r>
          </w:p>
          <w:p>
            <w:pPr>
              <w:spacing w:line="360" w:lineRule="auto"/>
              <w:ind w:firstLine="480" w:firstLineChars="200"/>
              <w:jc w:val="left"/>
              <w:rPr>
                <w:rFonts w:cs="Times New Roman"/>
                <w:szCs w:val="24"/>
              </w:rPr>
            </w:pPr>
            <w:r>
              <w:rPr>
                <w:rFonts w:cs="Times New Roman"/>
                <w:szCs w:val="24"/>
              </w:rPr>
              <w:t>流速：多年平均流速1.45m/s；</w:t>
            </w:r>
          </w:p>
          <w:p>
            <w:pPr>
              <w:spacing w:line="360" w:lineRule="auto"/>
              <w:ind w:firstLine="480" w:firstLineChars="200"/>
              <w:jc w:val="left"/>
              <w:rPr>
                <w:rFonts w:cs="Times New Roman"/>
                <w:szCs w:val="24"/>
              </w:rPr>
            </w:pPr>
            <w:r>
              <w:rPr>
                <w:rFonts w:cs="Times New Roman"/>
                <w:szCs w:val="24"/>
              </w:rPr>
              <w:t>含砂量：多年平均值0.683kg/m</w:t>
            </w:r>
            <w:r>
              <w:rPr>
                <w:rFonts w:cs="Times New Roman"/>
                <w:szCs w:val="24"/>
                <w:vertAlign w:val="superscript"/>
              </w:rPr>
              <w:t>3</w:t>
            </w:r>
            <w:r>
              <w:rPr>
                <w:rFonts w:cs="Times New Roman"/>
                <w:szCs w:val="24"/>
              </w:rPr>
              <w:t>；</w:t>
            </w:r>
          </w:p>
          <w:p>
            <w:pPr>
              <w:spacing w:line="360" w:lineRule="auto"/>
              <w:ind w:firstLine="480" w:firstLineChars="200"/>
              <w:jc w:val="left"/>
              <w:rPr>
                <w:rFonts w:cs="Times New Roman"/>
                <w:szCs w:val="24"/>
              </w:rPr>
            </w:pPr>
            <w:r>
              <w:rPr>
                <w:rFonts w:cs="Times New Roman"/>
                <w:szCs w:val="24"/>
              </w:rPr>
              <w:t>输砂量：多年平均输砂量13.7t/s；</w:t>
            </w:r>
          </w:p>
          <w:p>
            <w:pPr>
              <w:spacing w:line="360" w:lineRule="auto"/>
              <w:ind w:firstLine="480" w:firstLineChars="200"/>
              <w:jc w:val="left"/>
              <w:rPr>
                <w:rFonts w:cs="Times New Roman"/>
                <w:szCs w:val="24"/>
              </w:rPr>
            </w:pPr>
            <w:r>
              <w:rPr>
                <w:rFonts w:cs="Times New Roman"/>
                <w:szCs w:val="24"/>
              </w:rPr>
              <w:t>历年最大输砂量：177t/s；</w:t>
            </w:r>
          </w:p>
          <w:p>
            <w:pPr>
              <w:spacing w:line="360" w:lineRule="auto"/>
              <w:ind w:firstLine="480" w:firstLineChars="200"/>
              <w:jc w:val="left"/>
              <w:rPr>
                <w:rFonts w:cs="Times New Roman"/>
                <w:szCs w:val="24"/>
              </w:rPr>
            </w:pPr>
            <w:r>
              <w:rPr>
                <w:rFonts w:cs="Times New Roman"/>
                <w:szCs w:val="24"/>
              </w:rPr>
              <w:t>历年最小输砂量：0.59t/s；</w:t>
            </w:r>
          </w:p>
          <w:p>
            <w:pPr>
              <w:spacing w:line="360" w:lineRule="auto"/>
              <w:ind w:firstLine="480" w:firstLineChars="200"/>
              <w:jc w:val="left"/>
              <w:rPr>
                <w:rFonts w:cs="Times New Roman"/>
                <w:szCs w:val="24"/>
              </w:rPr>
            </w:pPr>
            <w:r>
              <w:rPr>
                <w:rFonts w:cs="Times New Roman"/>
                <w:szCs w:val="24"/>
              </w:rPr>
              <w:t>水位：多年平均水位23.19m(吴淞高程)；</w:t>
            </w:r>
          </w:p>
          <w:p>
            <w:pPr>
              <w:spacing w:line="360" w:lineRule="auto"/>
              <w:ind w:firstLine="480" w:firstLineChars="200"/>
              <w:jc w:val="left"/>
              <w:rPr>
                <w:rFonts w:cs="Times New Roman"/>
                <w:szCs w:val="24"/>
              </w:rPr>
            </w:pPr>
            <w:r>
              <w:rPr>
                <w:rFonts w:cs="Times New Roman"/>
                <w:szCs w:val="24"/>
              </w:rPr>
              <w:t>历年最高水位：33.14m；</w:t>
            </w:r>
          </w:p>
          <w:p>
            <w:pPr>
              <w:spacing w:line="360" w:lineRule="auto"/>
              <w:ind w:firstLine="480" w:firstLineChars="200"/>
              <w:jc w:val="left"/>
              <w:rPr>
                <w:rFonts w:cs="Times New Roman"/>
                <w:szCs w:val="24"/>
              </w:rPr>
            </w:pPr>
            <w:r>
              <w:rPr>
                <w:rFonts w:cs="Times New Roman"/>
                <w:szCs w:val="24"/>
              </w:rPr>
              <w:t>历年最低水位：15.99m；</w:t>
            </w:r>
          </w:p>
          <w:p>
            <w:pPr>
              <w:spacing w:line="360" w:lineRule="auto"/>
              <w:ind w:firstLine="480" w:firstLineChars="200"/>
              <w:jc w:val="left"/>
              <w:rPr>
                <w:rFonts w:cs="Times New Roman"/>
                <w:szCs w:val="24"/>
              </w:rPr>
            </w:pPr>
            <w:r>
              <w:rPr>
                <w:rFonts w:cs="Times New Roman"/>
                <w:szCs w:val="24"/>
              </w:rPr>
              <w:t>项目位于湖南省岳阳市城陵矶新港区长江大道与环湖路交汇处，临近项目拟建地表体主要为松阳湖、长江。</w:t>
            </w:r>
          </w:p>
          <w:p>
            <w:pPr>
              <w:pStyle w:val="7"/>
              <w:rPr>
                <w:rFonts w:cs="Times New Roman" w:eastAsiaTheme="minorEastAsia"/>
                <w:color w:val="000000" w:themeColor="text1"/>
              </w:rPr>
            </w:pPr>
            <w:r>
              <w:rPr>
                <w:rFonts w:cs="Times New Roman" w:eastAsiaTheme="minorEastAsia"/>
                <w:color w:val="000000" w:themeColor="text1"/>
              </w:rPr>
              <w:t>气象、气候</w:t>
            </w:r>
          </w:p>
          <w:p>
            <w:pPr>
              <w:snapToGrid w:val="0"/>
              <w:spacing w:line="360" w:lineRule="auto"/>
              <w:ind w:firstLine="480" w:firstLineChars="200"/>
              <w:jc w:val="left"/>
              <w:rPr>
                <w:rFonts w:cs="Times New Roman"/>
                <w:szCs w:val="24"/>
              </w:rPr>
            </w:pPr>
            <w:r>
              <w:rPr>
                <w:rFonts w:cs="Times New Roman"/>
                <w:szCs w:val="24"/>
              </w:rPr>
              <w:t>岳阳城陵矶临港产业新区处于洞庭湖平原，属亚热带季风湿润气候区，气候湿润，温暧期长，严寒期短，四季分明，雨量充沛。由于受洞庭湖直接影响，市区最高气温比相邻县市低，最低气温比相邻县市高，年平均气温为16.9℃，以七月最热，平均气温在28℃；1月最冷，平均气温为4.2℃，年平均降雨量1302mm，年平均相对湿度为79%，全年无霜期277天。位于港区中内的芭蕉湖常规水面面积达11km</w:t>
            </w:r>
            <w:r>
              <w:rPr>
                <w:rFonts w:cs="Times New Roman"/>
                <w:szCs w:val="24"/>
                <w:vertAlign w:val="superscript"/>
              </w:rPr>
              <w:t>2</w:t>
            </w:r>
            <w:r>
              <w:rPr>
                <w:rFonts w:cs="Times New Roman"/>
                <w:szCs w:val="24"/>
              </w:rPr>
              <w:t>，与周边区域共28.81km</w:t>
            </w:r>
            <w:r>
              <w:rPr>
                <w:rFonts w:cs="Times New Roman"/>
                <w:szCs w:val="24"/>
                <w:vertAlign w:val="superscript"/>
              </w:rPr>
              <w:t>2</w:t>
            </w:r>
            <w:r>
              <w:rPr>
                <w:rFonts w:cs="Times New Roman"/>
                <w:szCs w:val="24"/>
              </w:rPr>
              <w:t>，是规划中的城市绿地，境内山水环绕，环境优美，置身如此，不仅可以感受她的勃勃生机，而且可以领略到这块土地的美丽、神奇与无究魅力。日照率40%。常年主导风向为西北风，夏 季主要风向为南风。区域外水域面积大，空气湿润，年平均相对湿度78%。</w:t>
            </w:r>
          </w:p>
          <w:p>
            <w:pPr>
              <w:snapToGrid w:val="0"/>
              <w:spacing w:line="360" w:lineRule="auto"/>
              <w:ind w:firstLine="480" w:firstLineChars="200"/>
              <w:jc w:val="left"/>
              <w:rPr>
                <w:rFonts w:cs="Times New Roman"/>
                <w:szCs w:val="24"/>
              </w:rPr>
            </w:pPr>
            <w:r>
              <w:rPr>
                <w:rFonts w:cs="Times New Roman"/>
                <w:szCs w:val="24"/>
              </w:rPr>
              <w:t>常年主导风向：</w:t>
            </w:r>
            <w:r>
              <w:rPr>
                <w:rFonts w:cs="Times New Roman"/>
                <w:szCs w:val="24"/>
              </w:rPr>
              <w:tab/>
            </w:r>
            <w:r>
              <w:rPr>
                <w:rFonts w:cs="Times New Roman"/>
                <w:szCs w:val="24"/>
              </w:rPr>
              <w:t xml:space="preserve">   北、北东</w:t>
            </w:r>
          </w:p>
          <w:p>
            <w:pPr>
              <w:snapToGrid w:val="0"/>
              <w:spacing w:line="360" w:lineRule="auto"/>
              <w:ind w:firstLine="480" w:firstLineChars="200"/>
              <w:jc w:val="left"/>
              <w:rPr>
                <w:rFonts w:cs="Times New Roman"/>
                <w:szCs w:val="24"/>
              </w:rPr>
            </w:pPr>
            <w:r>
              <w:rPr>
                <w:rFonts w:cs="Times New Roman"/>
                <w:szCs w:val="24"/>
              </w:rPr>
              <w:t>历年平均风速：</w:t>
            </w:r>
            <w:r>
              <w:rPr>
                <w:rFonts w:cs="Times New Roman"/>
                <w:szCs w:val="24"/>
              </w:rPr>
              <w:tab/>
            </w:r>
            <w:r>
              <w:rPr>
                <w:rFonts w:cs="Times New Roman"/>
                <w:szCs w:val="24"/>
              </w:rPr>
              <w:t xml:space="preserve">   3.1m/s</w:t>
            </w:r>
          </w:p>
          <w:p>
            <w:pPr>
              <w:snapToGrid w:val="0"/>
              <w:spacing w:line="360" w:lineRule="auto"/>
              <w:ind w:firstLine="480" w:firstLineChars="200"/>
              <w:jc w:val="left"/>
              <w:rPr>
                <w:rFonts w:cs="Times New Roman"/>
                <w:szCs w:val="24"/>
              </w:rPr>
            </w:pPr>
            <w:r>
              <w:rPr>
                <w:rFonts w:cs="Times New Roman"/>
                <w:szCs w:val="24"/>
              </w:rPr>
              <w:t>瞬时最高风速：</w:t>
            </w:r>
            <w:r>
              <w:rPr>
                <w:rFonts w:cs="Times New Roman"/>
                <w:szCs w:val="24"/>
              </w:rPr>
              <w:tab/>
            </w:r>
            <w:r>
              <w:rPr>
                <w:rFonts w:cs="Times New Roman"/>
                <w:szCs w:val="24"/>
              </w:rPr>
              <w:t xml:space="preserve">   40m/s</w:t>
            </w:r>
          </w:p>
          <w:p>
            <w:pPr>
              <w:snapToGrid w:val="0"/>
              <w:spacing w:line="360" w:lineRule="auto"/>
              <w:ind w:firstLine="480" w:firstLineChars="200"/>
              <w:jc w:val="left"/>
              <w:rPr>
                <w:rFonts w:cs="Times New Roman"/>
                <w:szCs w:val="24"/>
              </w:rPr>
            </w:pPr>
            <w:r>
              <w:rPr>
                <w:rFonts w:cs="Times New Roman"/>
                <w:szCs w:val="24"/>
              </w:rPr>
              <w:t>极端最高气温：</w:t>
            </w:r>
            <w:r>
              <w:rPr>
                <w:rFonts w:cs="Times New Roman"/>
                <w:szCs w:val="24"/>
              </w:rPr>
              <w:tab/>
            </w:r>
            <w:r>
              <w:rPr>
                <w:rFonts w:cs="Times New Roman"/>
                <w:szCs w:val="24"/>
              </w:rPr>
              <w:t xml:space="preserve">   39.3℃</w:t>
            </w:r>
          </w:p>
          <w:p>
            <w:pPr>
              <w:snapToGrid w:val="0"/>
              <w:spacing w:line="360" w:lineRule="auto"/>
              <w:ind w:firstLine="480" w:firstLineChars="200"/>
              <w:jc w:val="left"/>
              <w:rPr>
                <w:rFonts w:cs="Times New Roman"/>
                <w:szCs w:val="24"/>
              </w:rPr>
            </w:pPr>
            <w:r>
              <w:rPr>
                <w:rFonts w:cs="Times New Roman"/>
                <w:szCs w:val="24"/>
              </w:rPr>
              <w:t>极端最低气温：</w:t>
            </w:r>
            <w:r>
              <w:rPr>
                <w:rFonts w:cs="Times New Roman"/>
                <w:szCs w:val="24"/>
              </w:rPr>
              <w:tab/>
            </w:r>
            <w:r>
              <w:rPr>
                <w:rFonts w:cs="Times New Roman"/>
                <w:szCs w:val="24"/>
              </w:rPr>
              <w:t xml:space="preserve">   -11.8℃</w:t>
            </w:r>
          </w:p>
          <w:p>
            <w:pPr>
              <w:snapToGrid w:val="0"/>
              <w:spacing w:line="360" w:lineRule="auto"/>
              <w:ind w:firstLine="480" w:firstLineChars="200"/>
              <w:jc w:val="left"/>
              <w:rPr>
                <w:rFonts w:cs="Times New Roman"/>
                <w:szCs w:val="24"/>
              </w:rPr>
            </w:pPr>
            <w:r>
              <w:rPr>
                <w:rFonts w:cs="Times New Roman"/>
                <w:szCs w:val="24"/>
              </w:rPr>
              <w:t>历年平均气温：</w:t>
            </w:r>
            <w:r>
              <w:rPr>
                <w:rFonts w:cs="Times New Roman"/>
                <w:szCs w:val="24"/>
              </w:rPr>
              <w:tab/>
            </w:r>
            <w:r>
              <w:rPr>
                <w:rFonts w:cs="Times New Roman"/>
                <w:szCs w:val="24"/>
              </w:rPr>
              <w:t xml:space="preserve">   17℃</w:t>
            </w:r>
          </w:p>
          <w:p>
            <w:pPr>
              <w:snapToGrid w:val="0"/>
              <w:spacing w:line="360" w:lineRule="auto"/>
              <w:ind w:firstLine="480" w:firstLineChars="200"/>
              <w:jc w:val="left"/>
              <w:rPr>
                <w:rFonts w:cs="Times New Roman"/>
                <w:szCs w:val="24"/>
              </w:rPr>
            </w:pPr>
            <w:r>
              <w:rPr>
                <w:rFonts w:cs="Times New Roman"/>
                <w:szCs w:val="24"/>
              </w:rPr>
              <w:t>历年平均相对湿度：</w:t>
            </w:r>
            <w:r>
              <w:rPr>
                <w:rFonts w:cs="Times New Roman"/>
                <w:szCs w:val="24"/>
              </w:rPr>
              <w:tab/>
            </w:r>
            <w:r>
              <w:rPr>
                <w:rFonts w:cs="Times New Roman"/>
                <w:szCs w:val="24"/>
              </w:rPr>
              <w:t>79%</w:t>
            </w:r>
          </w:p>
          <w:p>
            <w:pPr>
              <w:snapToGrid w:val="0"/>
              <w:spacing w:line="360" w:lineRule="auto"/>
              <w:ind w:firstLine="480" w:firstLineChars="200"/>
              <w:jc w:val="left"/>
              <w:rPr>
                <w:rFonts w:cs="Times New Roman"/>
                <w:szCs w:val="24"/>
              </w:rPr>
            </w:pPr>
            <w:r>
              <w:rPr>
                <w:rFonts w:cs="Times New Roman"/>
                <w:szCs w:val="24"/>
              </w:rPr>
              <w:t>历年最大相对湿度：</w:t>
            </w:r>
            <w:r>
              <w:rPr>
                <w:rFonts w:cs="Times New Roman"/>
                <w:szCs w:val="24"/>
              </w:rPr>
              <w:tab/>
            </w:r>
            <w:r>
              <w:rPr>
                <w:rFonts w:cs="Times New Roman"/>
                <w:szCs w:val="24"/>
              </w:rPr>
              <w:t>100%</w:t>
            </w:r>
          </w:p>
          <w:p>
            <w:pPr>
              <w:snapToGrid w:val="0"/>
              <w:spacing w:line="360" w:lineRule="auto"/>
              <w:ind w:firstLine="480" w:firstLineChars="200"/>
              <w:jc w:val="left"/>
              <w:rPr>
                <w:rFonts w:cs="Times New Roman"/>
                <w:szCs w:val="24"/>
              </w:rPr>
            </w:pPr>
            <w:r>
              <w:rPr>
                <w:rFonts w:cs="Times New Roman"/>
                <w:szCs w:val="24"/>
              </w:rPr>
              <w:t>历年最小相对湿度：</w:t>
            </w:r>
            <w:r>
              <w:rPr>
                <w:rFonts w:cs="Times New Roman"/>
                <w:szCs w:val="24"/>
              </w:rPr>
              <w:tab/>
            </w:r>
            <w:r>
              <w:rPr>
                <w:rFonts w:cs="Times New Roman"/>
                <w:szCs w:val="24"/>
              </w:rPr>
              <w:t>12%</w:t>
            </w:r>
          </w:p>
          <w:p>
            <w:pPr>
              <w:snapToGrid w:val="0"/>
              <w:spacing w:line="360" w:lineRule="auto"/>
              <w:ind w:firstLine="480" w:firstLineChars="200"/>
              <w:jc w:val="left"/>
              <w:rPr>
                <w:rFonts w:cs="Times New Roman"/>
                <w:szCs w:val="24"/>
              </w:rPr>
            </w:pPr>
            <w:r>
              <w:rPr>
                <w:rFonts w:cs="Times New Roman"/>
                <w:szCs w:val="24"/>
              </w:rPr>
              <w:t xml:space="preserve">历年平均气温压：  </w:t>
            </w:r>
            <w:r>
              <w:rPr>
                <w:rFonts w:cs="Times New Roman"/>
                <w:szCs w:val="24"/>
              </w:rPr>
              <w:tab/>
            </w:r>
            <w:r>
              <w:rPr>
                <w:rFonts w:cs="Times New Roman"/>
                <w:szCs w:val="24"/>
              </w:rPr>
              <w:t>100.7KPa</w:t>
            </w:r>
          </w:p>
          <w:p>
            <w:pPr>
              <w:snapToGrid w:val="0"/>
              <w:spacing w:line="360" w:lineRule="auto"/>
              <w:ind w:firstLine="480" w:firstLineChars="200"/>
              <w:jc w:val="left"/>
              <w:rPr>
                <w:rFonts w:cs="Times New Roman"/>
                <w:szCs w:val="24"/>
              </w:rPr>
            </w:pPr>
            <w:r>
              <w:rPr>
                <w:rFonts w:cs="Times New Roman"/>
                <w:szCs w:val="24"/>
              </w:rPr>
              <w:t>年平均降雨量：</w:t>
            </w:r>
            <w:r>
              <w:rPr>
                <w:rFonts w:cs="Times New Roman"/>
                <w:szCs w:val="24"/>
              </w:rPr>
              <w:tab/>
            </w:r>
            <w:r>
              <w:rPr>
                <w:rFonts w:cs="Times New Roman"/>
                <w:szCs w:val="24"/>
              </w:rPr>
              <w:t xml:space="preserve">    1302.4mm</w:t>
            </w:r>
          </w:p>
          <w:p>
            <w:pPr>
              <w:snapToGrid w:val="0"/>
              <w:spacing w:line="360" w:lineRule="auto"/>
              <w:ind w:firstLine="480" w:firstLineChars="200"/>
              <w:jc w:val="left"/>
              <w:rPr>
                <w:rFonts w:cs="Times New Roman"/>
                <w:szCs w:val="24"/>
              </w:rPr>
            </w:pPr>
            <w:r>
              <w:rPr>
                <w:rFonts w:cs="Times New Roman"/>
                <w:szCs w:val="24"/>
              </w:rPr>
              <w:t>年最大降雨量：</w:t>
            </w:r>
            <w:r>
              <w:rPr>
                <w:rFonts w:cs="Times New Roman"/>
                <w:szCs w:val="24"/>
              </w:rPr>
              <w:tab/>
            </w:r>
            <w:r>
              <w:rPr>
                <w:rFonts w:cs="Times New Roman"/>
                <w:szCs w:val="24"/>
              </w:rPr>
              <w:t xml:space="preserve">    2336.5mm</w:t>
            </w:r>
          </w:p>
          <w:p>
            <w:pPr>
              <w:snapToGrid w:val="0"/>
              <w:spacing w:line="360" w:lineRule="auto"/>
              <w:ind w:firstLine="480" w:firstLineChars="200"/>
              <w:jc w:val="left"/>
              <w:rPr>
                <w:rFonts w:cs="Times New Roman"/>
                <w:szCs w:val="24"/>
              </w:rPr>
            </w:pPr>
            <w:r>
              <w:rPr>
                <w:rFonts w:cs="Times New Roman"/>
                <w:szCs w:val="24"/>
              </w:rPr>
              <w:t>年最小降雨量：</w:t>
            </w:r>
            <w:r>
              <w:rPr>
                <w:rFonts w:cs="Times New Roman"/>
                <w:szCs w:val="24"/>
              </w:rPr>
              <w:tab/>
            </w:r>
            <w:r>
              <w:rPr>
                <w:rFonts w:cs="Times New Roman"/>
                <w:szCs w:val="24"/>
              </w:rPr>
              <w:t xml:space="preserve">    787.4mm</w:t>
            </w:r>
          </w:p>
          <w:p>
            <w:pPr>
              <w:snapToGrid w:val="0"/>
              <w:spacing w:line="360" w:lineRule="auto"/>
              <w:ind w:firstLine="480" w:firstLineChars="200"/>
              <w:jc w:val="left"/>
              <w:rPr>
                <w:rFonts w:cs="Times New Roman"/>
                <w:szCs w:val="24"/>
              </w:rPr>
            </w:pPr>
            <w:r>
              <w:rPr>
                <w:rFonts w:cs="Times New Roman"/>
                <w:szCs w:val="24"/>
              </w:rPr>
              <w:t>最大积雪深度：</w:t>
            </w:r>
            <w:r>
              <w:rPr>
                <w:rFonts w:cs="Times New Roman"/>
                <w:szCs w:val="24"/>
              </w:rPr>
              <w:tab/>
            </w:r>
            <w:r>
              <w:rPr>
                <w:rFonts w:cs="Times New Roman"/>
                <w:szCs w:val="24"/>
              </w:rPr>
              <w:t xml:space="preserve">    230mm</w:t>
            </w:r>
          </w:p>
          <w:p>
            <w:pPr>
              <w:snapToGrid w:val="0"/>
              <w:spacing w:line="360" w:lineRule="auto"/>
              <w:ind w:firstLine="480" w:firstLineChars="200"/>
              <w:jc w:val="left"/>
              <w:rPr>
                <w:rFonts w:cs="Times New Roman"/>
                <w:szCs w:val="24"/>
              </w:rPr>
            </w:pPr>
            <w:r>
              <w:rPr>
                <w:rFonts w:cs="Times New Roman"/>
                <w:szCs w:val="24"/>
              </w:rPr>
              <w:t>年平均蒸发量：</w:t>
            </w:r>
            <w:r>
              <w:rPr>
                <w:rFonts w:cs="Times New Roman"/>
                <w:szCs w:val="24"/>
              </w:rPr>
              <w:tab/>
            </w:r>
            <w:r>
              <w:rPr>
                <w:rFonts w:cs="Times New Roman"/>
                <w:szCs w:val="24"/>
              </w:rPr>
              <w:t xml:space="preserve">    142.2mm</w:t>
            </w:r>
          </w:p>
          <w:p>
            <w:pPr>
              <w:pStyle w:val="7"/>
              <w:rPr>
                <w:rFonts w:cs="Times New Roman" w:eastAsiaTheme="minorEastAsia"/>
                <w:color w:val="000000" w:themeColor="text1"/>
              </w:rPr>
            </w:pPr>
            <w:r>
              <w:rPr>
                <w:rFonts w:cs="Times New Roman" w:eastAsiaTheme="minorEastAsia"/>
                <w:color w:val="000000" w:themeColor="text1"/>
              </w:rPr>
              <w:t>土壤</w:t>
            </w:r>
          </w:p>
          <w:p>
            <w:pPr>
              <w:adjustRightInd w:val="0"/>
              <w:snapToGrid w:val="0"/>
              <w:spacing w:line="360" w:lineRule="auto"/>
              <w:ind w:firstLine="480" w:firstLineChars="200"/>
              <w:jc w:val="left"/>
              <w:rPr>
                <w:rFonts w:cs="Times New Roman"/>
                <w:color w:val="000000"/>
                <w:kern w:val="0"/>
                <w:szCs w:val="24"/>
              </w:rPr>
            </w:pPr>
            <w:r>
              <w:rPr>
                <w:rFonts w:cs="Times New Roman"/>
                <w:color w:val="000000"/>
                <w:szCs w:val="24"/>
              </w:rPr>
              <w:t>岳阳市总国土面积15019平方公里，耕地面积32.10千公顷，其中水田面积17.33千公顷。区域表土为受长江和洞庭湖控制的冲积土，表层以粘土为主，夹少量砂土，厚度在0.4~12.64m，呈红褐色、黄褐色、深绿色和紫红色等类型；自然土壤以湖土和红壤为主，农耕以水稻土和菜园土为主。</w:t>
            </w:r>
          </w:p>
          <w:p>
            <w:pPr>
              <w:pStyle w:val="7"/>
              <w:rPr>
                <w:rFonts w:cs="Times New Roman" w:eastAsiaTheme="minorEastAsia"/>
              </w:rPr>
            </w:pPr>
            <w:r>
              <w:rPr>
                <w:rFonts w:cs="Times New Roman" w:eastAsiaTheme="minorEastAsia"/>
              </w:rPr>
              <w:t>生态环境</w:t>
            </w:r>
          </w:p>
          <w:p>
            <w:pPr>
              <w:spacing w:line="360" w:lineRule="auto"/>
              <w:ind w:firstLine="480" w:firstLineChars="200"/>
              <w:jc w:val="left"/>
              <w:rPr>
                <w:rFonts w:cs="Times New Roman"/>
                <w:color w:val="000000"/>
                <w:szCs w:val="24"/>
              </w:rPr>
            </w:pPr>
            <w:r>
              <w:rPr>
                <w:rFonts w:cs="Times New Roman"/>
                <w:color w:val="000000"/>
                <w:szCs w:val="24"/>
              </w:rPr>
              <w:t>岳阳城陵矶临港产业新区区域内为河流和湖泊冲积平原，地势平坦，土壤为湖沼土和 河沼土。项目所在地属于亚热带常绿阔叶林带，原始植被已被破坏，现只存在次生植被和人工植被，以灌草丛和农业植被为主，有白杨、杉、竹、棉、麻、芦苇，茶叶、蔬菜等植物。尤其经济作物棉花种植多。因项目区域内人为活动频繁，野生动物失去较适宜的栖息繁衍场所。主要动物是田鼠、青蛙、蛇、山雀等常见物种，未见国家保护的珍稀野生动物。家畜以牛、羊、猪、狗为主，家禽以鸡、鸭、鹅为主。项目区域内有多个人工水塘(库)，塘内有少量的地表存水，水塘中水生鱼类以青、草、鲤、鲫四大鱼类为主，另外还有虾、蟹、 鳖等。</w:t>
            </w:r>
          </w:p>
          <w:p>
            <w:pPr>
              <w:pStyle w:val="7"/>
              <w:rPr>
                <w:rFonts w:cs="Times New Roman" w:eastAsiaTheme="minorEastAsia"/>
              </w:rPr>
            </w:pPr>
            <w:r>
              <w:rPr>
                <w:rFonts w:cs="Times New Roman" w:eastAsiaTheme="minorEastAsia"/>
              </w:rPr>
              <w:t>湖南城陵矶临港产业新区概况</w:t>
            </w:r>
          </w:p>
          <w:p>
            <w:pPr>
              <w:adjustRightInd w:val="0"/>
              <w:snapToGrid w:val="0"/>
              <w:spacing w:line="360" w:lineRule="auto"/>
              <w:ind w:firstLine="480" w:firstLineChars="200"/>
              <w:jc w:val="left"/>
              <w:rPr>
                <w:rFonts w:cs="Times New Roman"/>
                <w:color w:val="000000"/>
                <w:kern w:val="0"/>
                <w:szCs w:val="24"/>
              </w:rPr>
            </w:pPr>
            <w:r>
              <w:rPr>
                <w:rFonts w:cs="Times New Roman"/>
                <w:color w:val="000000"/>
                <w:szCs w:val="24"/>
              </w:rPr>
              <w:t>湖南城陵矶临港产业新区于湖南岳阳市</w:t>
            </w:r>
            <w:r>
              <w:rPr>
                <w:rFonts w:cs="Times New Roman"/>
                <w:color w:val="000000"/>
                <w:kern w:val="0"/>
                <w:szCs w:val="24"/>
              </w:rPr>
              <w:t>云溪区，总规划用地面积23.6平方公里，是一个以港口（城陵矶港）为依托，以物流仓储、加工贸易、现代装备制造、新型建材及精细化工等为主导产业的港口经济带。</w:t>
            </w:r>
          </w:p>
          <w:p>
            <w:pPr>
              <w:adjustRightInd w:val="0"/>
              <w:snapToGrid w:val="0"/>
              <w:spacing w:line="360" w:lineRule="auto"/>
              <w:ind w:firstLine="480" w:firstLineChars="200"/>
              <w:jc w:val="left"/>
              <w:rPr>
                <w:rFonts w:cs="Times New Roman"/>
                <w:color w:val="000000"/>
                <w:szCs w:val="24"/>
              </w:rPr>
            </w:pPr>
            <w:r>
              <w:rPr>
                <w:rFonts w:cs="Times New Roman"/>
                <w:color w:val="000000"/>
                <w:szCs w:val="24"/>
              </w:rPr>
              <w:t xml:space="preserve">临港新区区位、交通优势明显，地处湘、鄂、赣三省中心交汇点，依长江、 </w:t>
            </w:r>
          </w:p>
          <w:p>
            <w:pPr>
              <w:adjustRightInd w:val="0"/>
              <w:snapToGrid w:val="0"/>
              <w:spacing w:line="360" w:lineRule="auto"/>
              <w:ind w:firstLine="480" w:firstLineChars="200"/>
              <w:jc w:val="left"/>
              <w:rPr>
                <w:rFonts w:cs="Times New Roman"/>
                <w:color w:val="000000"/>
                <w:szCs w:val="24"/>
              </w:rPr>
            </w:pPr>
            <w:r>
              <w:rPr>
                <w:rFonts w:cs="Times New Roman"/>
                <w:color w:val="000000"/>
                <w:szCs w:val="24"/>
              </w:rPr>
              <w:t>衔洞庭、带四水，是长江流域经济带和京广铁路经济带的投资宝地，是长三角经济带和珠三角经济带西进北上的战略要地，也是长株潭城市圈和武汉城市圈的中心腹地，区内城陵矶新港是全国28个内河主枢纽港之一，国家对外贸易一类开放港口，湖南省长江干线上唯一口岸，长江航运和湘江航运重要的中转站，枯水期5000吨级船舶可进港作业。随岳高速、京珠高速、107国道、S201、S301 等公路，以及京广铁路、岳沙铁路、武广高速伴区或穿境而过。区内有进港路、通港路、支线铁路与上述公路、铁路连通，构成纵横交错的交通网络。</w:t>
            </w:r>
          </w:p>
          <w:p>
            <w:pPr>
              <w:adjustRightInd w:val="0"/>
              <w:snapToGrid w:val="0"/>
              <w:spacing w:line="360" w:lineRule="auto"/>
              <w:ind w:firstLine="480" w:firstLineChars="200"/>
              <w:jc w:val="left"/>
              <w:rPr>
                <w:rFonts w:cs="Times New Roman"/>
                <w:color w:val="000000"/>
                <w:szCs w:val="24"/>
              </w:rPr>
            </w:pPr>
            <w:r>
              <w:rPr>
                <w:rFonts w:cs="Times New Roman"/>
                <w:color w:val="000000"/>
                <w:szCs w:val="24"/>
              </w:rPr>
              <w:t>2012年9月18日湖南省环保厅以湘环评[201</w:t>
            </w:r>
            <w:r>
              <w:rPr>
                <w:rFonts w:cs="Times New Roman"/>
                <w:szCs w:val="24"/>
              </w:rPr>
              <w:t>2]293号文对《湖南城陵矶临港产业新区产业核心区环境影响报告书》进行了批复</w:t>
            </w:r>
            <w:r>
              <w:rPr>
                <w:rFonts w:cs="Times New Roman"/>
                <w:color w:val="000000"/>
                <w:szCs w:val="24"/>
              </w:rPr>
              <w:t>。湖南城陵矶临港产业新区产业核心区规划用地行政隶属云溪区永济乡、云溪乡，规划范围东起随岳高速公路西侧，西抵长江干堤道路西侧，南临规划擂鼓台路、煤灰湖路、兴港路及疏港大道，北至规划环湖路、松阳湖路及其局部所设防涝堤挡水一侧，总用地面积为23.68km</w:t>
            </w:r>
            <w:r>
              <w:rPr>
                <w:rFonts w:cs="Times New Roman"/>
                <w:color w:val="000000"/>
                <w:szCs w:val="24"/>
                <w:vertAlign w:val="superscript"/>
              </w:rPr>
              <w:t>2</w:t>
            </w:r>
            <w:r>
              <w:rPr>
                <w:rFonts w:cs="Times New Roman"/>
                <w:color w:val="000000"/>
                <w:szCs w:val="24"/>
              </w:rPr>
              <w:t>，核心区规划工业用地面积940.49公顷，占城市建设用地的39.71%（其中一类工业用地面积为442.64公顷，主要布局在云港路南侧，兴港路北侧；二类工业用地面积为317.85公顷，主要布局在云港路及欣园东路北侧，松阳湖南侧；三类工业用地面积为180公顷，主要布在欣园西路及松阳湖路以北）；仓储用地总面积300.82公顷，占城市建设用地的12.7%，主要布置在沿江路与长江大道之间，紧邻港口陆域;居住用地总面积83.53公顷占3.5%；公共设施用地总面积为52.43公顷占2.2%；对外交通用地总面积391公顷占16.5%；道路广场用地总面积107.71公顷，占4.5%；市政公用设施用地24.31公顷占1%；绿地面积467.98公顷，占19.8%核心区依托区位航运交通及岳阳市现有石化工业基础的优势；拟重点发展新材料、高技术服务、高端装备制造和电子信息四大产业。</w:t>
            </w:r>
          </w:p>
          <w:p>
            <w:pPr>
              <w:adjustRightInd w:val="0"/>
              <w:snapToGrid w:val="0"/>
              <w:spacing w:line="360" w:lineRule="auto"/>
              <w:ind w:firstLine="480" w:firstLineChars="200"/>
              <w:jc w:val="left"/>
              <w:rPr>
                <w:rFonts w:cs="Times New Roman"/>
                <w:color w:val="000000"/>
                <w:szCs w:val="24"/>
              </w:rPr>
            </w:pPr>
            <w:r>
              <w:rPr>
                <w:rFonts w:cs="Times New Roman"/>
                <w:color w:val="000000"/>
                <w:szCs w:val="24"/>
              </w:rPr>
              <w:t>其中：在规划区西北部布设新材料产业区，结合现有产业基础，差异化发展化工新材料，积极培育先进储能材料和复合材料产业；在长江大道以东、连城路以西、松阳湖以南、兴港路以北区域规划布置高端装备制造区，重点发展港口机械装备工程建筑装备、化工机械装备和交通运输装备等制造产业，带动相关配套零部件制造产业发展；在枯园路及云欣路以东、兴港路以北、向阳路以西、松阳湖路以南的地段布置电子信息产业区积极发展LED产业和新型电子元器件产业；在规划区西部临长江陆域区以及高端装备制造产业区和电子信息产业区包夹的中间区域布置高技术服务产业区，重点发展集装箱、石油化工储运大宗散货件杂货配送、大宗农产品及粮油物流、城陵矶港保税物流等六大物流中心,积极发展服务外包和电子商务物流产业。</w:t>
            </w:r>
          </w:p>
          <w:p>
            <w:pPr>
              <w:adjustRightInd w:val="0"/>
              <w:snapToGrid w:val="0"/>
              <w:spacing w:line="360" w:lineRule="auto"/>
              <w:ind w:firstLine="480" w:firstLineChars="200"/>
              <w:jc w:val="left"/>
              <w:rPr>
                <w:rFonts w:cs="Times New Roman"/>
                <w:color w:val="000000"/>
                <w:szCs w:val="24"/>
              </w:rPr>
            </w:pPr>
            <w:r>
              <w:rPr>
                <w:rFonts w:cs="Times New Roman"/>
                <w:color w:val="000000"/>
                <w:szCs w:val="24"/>
              </w:rPr>
              <w:t>临港产业新区区位、交通优势明显，地处湘、鄂、赣三省中心交汇点，依长江、衔洞庭、带四水，是长江流域经济带和京广铁路经济带的投资宝地，是长三角经济带和珠三角经济带西进北上的战略要地，也是长株潭城市圈和武汉城市圈的中心腹地，区内城陵矶新港是全国28个内河主枢纽港之一，国家对外贸易一类开放港口，湖南省长江干线上唯一口岸，长江航运和湘江航运重要的中转站，枯水期5000吨级船舶可进港作业。随岳高速、京珠高速、107国道、S201、S301等公路，以及京广铁路、岳沙铁路、武广高速伴区或穿境而过。区内有进港路、通港路、支线铁路与上述公路、铁路连通，构成纵横交错的交通网络。</w:t>
            </w:r>
          </w:p>
          <w:p>
            <w:pPr>
              <w:pStyle w:val="7"/>
              <w:rPr>
                <w:rFonts w:cs="Times New Roman" w:eastAsiaTheme="minorEastAsia"/>
              </w:rPr>
            </w:pPr>
            <w:r>
              <w:rPr>
                <w:rFonts w:cs="Times New Roman" w:eastAsiaTheme="minorEastAsia"/>
              </w:rPr>
              <w:t>湖南城陵矶临港产业新区污水处理厂基本情况</w:t>
            </w:r>
          </w:p>
          <w:p>
            <w:pPr>
              <w:adjustRightInd w:val="0"/>
              <w:snapToGrid w:val="0"/>
              <w:spacing w:line="360" w:lineRule="auto"/>
              <w:ind w:firstLine="480" w:firstLineChars="200"/>
              <w:jc w:val="left"/>
              <w:rPr>
                <w:rFonts w:cs="Times New Roman"/>
                <w:color w:val="000000"/>
                <w:szCs w:val="24"/>
              </w:rPr>
            </w:pPr>
            <w:r>
              <w:rPr>
                <w:rFonts w:cs="Times New Roman"/>
                <w:color w:val="000000"/>
                <w:szCs w:val="24"/>
              </w:rPr>
              <w:t>湖南城陵矶临港产业新区污水处理厂东邻沿江大道，西靠长江大堤，处于云港路与沿江路的交界处，于2014年7月取得岳阳市环境保护局环评批复，2016年建成，设计处理能力3万吨/天，主要采用CASS工艺，出水达《城镇污水处理厂污染物排放标准》（GB18918-2002）一级B排放标准，尾水排至长江。2019年2月岳阳联泰水务有限公司委托湖南志远环境咨询服务有限公司编制了《湖南城陵矶临港产业新区污水处理厂一期提标改造工程项目环境影响报告表》，目前已经通过临港新区环保分局审批（岳港环批〔2019〕4号），提标改造规模为3万吨/天。①新建部分：1座调节池、1座絮凝沉淀池、1座中间提升泵房、1座高效絮凝沉淀池、1座反硝化深床滤池、1座加药间及次氯酸钠消毒渠；②改造部分：在一期每系列生物池的缺氧段各安装微生物培养箱12台（培养箱内安装组合填料，培养箱供气管道就近接于生物池曝气管道）、在原污泥回流泵房内安装除臭污泥投加泵、在原污泥泵出口至进水井处铺设除臭污泥投加管道、在原紫外消毒渠处增设灯管28根。改造完成后，服务范围为临港产业新区（主要为临港产业核心区），管道接纳标准为COD≤500mg/L、BOD</w:t>
            </w:r>
            <w:r>
              <w:rPr>
                <w:rFonts w:cs="Times New Roman"/>
                <w:color w:val="000000"/>
                <w:szCs w:val="24"/>
                <w:vertAlign w:val="subscript"/>
              </w:rPr>
              <w:t>5</w:t>
            </w:r>
            <w:r>
              <w:rPr>
                <w:rFonts w:cs="Times New Roman"/>
                <w:color w:val="000000"/>
                <w:szCs w:val="24"/>
              </w:rPr>
              <w:t>≤300mg/L、SS≤400mg/L、NH</w:t>
            </w:r>
            <w:r>
              <w:rPr>
                <w:rFonts w:cs="Times New Roman"/>
                <w:color w:val="000000"/>
                <w:szCs w:val="24"/>
                <w:vertAlign w:val="subscript"/>
              </w:rPr>
              <w:t>3</w:t>
            </w:r>
            <w:r>
              <w:rPr>
                <w:rFonts w:cs="Times New Roman"/>
                <w:color w:val="000000"/>
                <w:szCs w:val="24"/>
              </w:rPr>
              <w:t>-N≤45mg/L、TN≤70mg/L、TP≤8mg/L、石油类≤15mg/L，出水水质由《城镇污水处理厂污染物排放标准》（GB18918-2002）一级B标准提高至一级A标准</w:t>
            </w:r>
            <w:r>
              <w:rPr>
                <w:rFonts w:hint="eastAsia" w:cs="Times New Roman"/>
                <w:color w:val="000000"/>
                <w:szCs w:val="24"/>
              </w:rPr>
              <w:t>，</w:t>
            </w:r>
            <w:r>
              <w:rPr>
                <w:rFonts w:hint="eastAsia" w:cs="Times New Roman"/>
                <w:color w:val="000000" w:themeColor="text1"/>
                <w:szCs w:val="24"/>
              </w:rPr>
              <w:t>目前污水处理厂执行</w:t>
            </w:r>
            <w:r>
              <w:rPr>
                <w:rFonts w:cs="Times New Roman"/>
                <w:color w:val="000000" w:themeColor="text1"/>
                <w:szCs w:val="24"/>
              </w:rPr>
              <w:t>《城镇污水处理厂污染物排放标准》（GB18918-2002）</w:t>
            </w:r>
            <w:r>
              <w:rPr>
                <w:rFonts w:hint="eastAsia" w:cs="Times New Roman"/>
                <w:color w:val="000000" w:themeColor="text1"/>
                <w:szCs w:val="24"/>
              </w:rPr>
              <w:t>一级A标准。</w:t>
            </w:r>
          </w:p>
          <w:p>
            <w:pPr>
              <w:pStyle w:val="141"/>
              <w:adjustRightInd w:val="0"/>
              <w:snapToGrid w:val="0"/>
              <w:ind w:firstLine="480"/>
              <w:rPr>
                <w:rFonts w:ascii="Times New Roman" w:hAnsi="Times New Roman" w:eastAsiaTheme="minorEastAsia"/>
              </w:rPr>
            </w:pPr>
            <w:r>
              <w:rPr>
                <w:rFonts w:ascii="Times New Roman" w:hAnsi="Times New Roman" w:eastAsiaTheme="minorEastAsia"/>
              </w:rPr>
              <w:t>根据《岳阳市城陵矶临港新区核心区排水工程专项规划》（2010~2030），临港新区核心区污水处理厂污水系统分为九个分区，项目拟建地位于云溪区松阳湖办事处茅岭头村，长江大道以东，区域污水管网情况如下：以西侧的长江大道、南侧的欣园西路、北面环湖路及东侧的环湖路和连城路为界线，服务面积为1.8平方公里。地形地势大概为西高东低，污水沿茅岭东路、道松路、松阳湖路、欣园西路等的次干道自西向东流入位于环湖路及连城路上的干道，干道的污水自北向南进入连城路西片区的云港路污水主干管，最终进入临港新区污水处理厂。目前管道建设完毕，可投入使用。</w:t>
            </w:r>
          </w:p>
          <w:p>
            <w:pPr>
              <w:pStyle w:val="7"/>
            </w:pPr>
            <w:r>
              <w:rPr>
                <w:rFonts w:cs="Times New Roman" w:eastAsiaTheme="minorEastAsia"/>
              </w:rPr>
              <w:t>湖南城陵矶临港产业新区</w:t>
            </w:r>
            <w:r>
              <w:rPr>
                <w:rFonts w:hint="eastAsia" w:cs="Times New Roman" w:eastAsiaTheme="minorEastAsia"/>
              </w:rPr>
              <w:t>同类企业情况</w:t>
            </w:r>
          </w:p>
          <w:p>
            <w:pPr>
              <w:spacing w:line="360" w:lineRule="auto"/>
              <w:ind w:firstLine="480" w:firstLineChars="200"/>
              <w:jc w:val="left"/>
              <w:rPr>
                <w:rFonts w:cs="Times New Roman"/>
                <w:u w:val="single"/>
              </w:rPr>
            </w:pPr>
            <w:r>
              <w:rPr>
                <w:rFonts w:hint="eastAsia" w:cs="Times New Roman"/>
                <w:u w:val="single"/>
              </w:rPr>
              <w:t>目前湖南城陵矶临港产业新区同类企业主要有岳阳市临港富强混凝土管桩有限公司、华新水泥（岳阳）有限公司、华新混凝土（岳阳）有限公司、富强科技股份有限公司。企业具体情况见下表所示。</w:t>
            </w:r>
          </w:p>
          <w:p>
            <w:pPr>
              <w:pStyle w:val="15"/>
              <w:spacing w:line="240" w:lineRule="auto"/>
            </w:pPr>
          </w:p>
          <w:p>
            <w:pPr>
              <w:pStyle w:val="15"/>
              <w:spacing w:line="240" w:lineRule="auto"/>
            </w:pPr>
            <w:r>
              <w:t>表</w:t>
            </w:r>
            <w:r>
              <w:fldChar w:fldCharType="begin"/>
            </w:r>
            <w:r>
              <w:instrText xml:space="preserve"> STYLEREF 2 \s </w:instrText>
            </w:r>
            <w:r>
              <w:fldChar w:fldCharType="separate"/>
            </w:r>
            <w:r>
              <w:t>2</w:t>
            </w:r>
            <w:r>
              <w:rPr>
                <w:rFonts w:hint="eastAsia"/>
              </w:rPr>
              <w:t>.</w:t>
            </w:r>
            <w:r>
              <w:t>1</w:t>
            </w:r>
            <w:r>
              <w:fldChar w:fldCharType="end"/>
            </w:r>
            <w:r>
              <w:rPr>
                <w:rFonts w:hint="eastAsia"/>
              </w:rPr>
              <w:t>-</w:t>
            </w:r>
            <w:r>
              <w:fldChar w:fldCharType="begin"/>
            </w:r>
            <w:r>
              <w:instrText xml:space="preserve"> SEQ 表 \* ARABIC \s 2 </w:instrText>
            </w:r>
            <w:r>
              <w:fldChar w:fldCharType="separate"/>
            </w:r>
            <w:r>
              <w:t>1</w:t>
            </w:r>
            <w:r>
              <w:fldChar w:fldCharType="end"/>
            </w:r>
            <w:r>
              <w:rPr>
                <w:rFonts w:hint="eastAsia"/>
              </w:rPr>
              <w:t xml:space="preserve"> 同类企业基本情况一览表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911"/>
              <w:gridCol w:w="908"/>
              <w:gridCol w:w="1749"/>
              <w:gridCol w:w="1768"/>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179" w:type="dxa"/>
                  <w:vAlign w:val="center"/>
                </w:tcPr>
                <w:p>
                  <w:pPr>
                    <w:jc w:val="center"/>
                    <w:rPr>
                      <w:rFonts w:cs="Times New Roman"/>
                      <w:sz w:val="21"/>
                      <w:u w:val="single"/>
                    </w:rPr>
                  </w:pPr>
                </w:p>
                <w:p>
                  <w:pPr>
                    <w:jc w:val="center"/>
                    <w:rPr>
                      <w:rFonts w:cs="Times New Roman"/>
                      <w:sz w:val="21"/>
                      <w:u w:val="single"/>
                    </w:rPr>
                  </w:pPr>
                  <w:r>
                    <w:rPr>
                      <w:rFonts w:hint="eastAsia" w:cs="Times New Roman"/>
                      <w:sz w:val="21"/>
                      <w:u w:val="single"/>
                    </w:rPr>
                    <w:t>其他</w:t>
                  </w:r>
                </w:p>
                <w:p>
                  <w:pPr>
                    <w:jc w:val="center"/>
                    <w:rPr>
                      <w:rFonts w:cs="Times New Roman"/>
                      <w:sz w:val="21"/>
                      <w:u w:val="single"/>
                    </w:rPr>
                  </w:pPr>
                  <w:r>
                    <w:rPr>
                      <w:rFonts w:hint="eastAsia" w:cs="Times New Roman"/>
                      <w:sz w:val="21"/>
                      <w:u w:val="single"/>
                    </w:rPr>
                    <w:t>企业名称</w:t>
                  </w:r>
                </w:p>
              </w:tc>
              <w:tc>
                <w:tcPr>
                  <w:tcW w:w="1819" w:type="dxa"/>
                  <w:gridSpan w:val="2"/>
                  <w:vAlign w:val="center"/>
                </w:tcPr>
                <w:p>
                  <w:pPr>
                    <w:jc w:val="center"/>
                    <w:rPr>
                      <w:rFonts w:cs="Times New Roman"/>
                      <w:sz w:val="21"/>
                      <w:u w:val="single"/>
                    </w:rPr>
                  </w:pPr>
                  <w:r>
                    <w:rPr>
                      <w:rFonts w:hint="eastAsia" w:cs="Times New Roman"/>
                      <w:sz w:val="21"/>
                      <w:u w:val="single"/>
                    </w:rPr>
                    <w:t>岳阳市临港富强混凝土管桩有限公司</w:t>
                  </w:r>
                </w:p>
              </w:tc>
              <w:tc>
                <w:tcPr>
                  <w:tcW w:w="1749" w:type="dxa"/>
                  <w:vAlign w:val="center"/>
                </w:tcPr>
                <w:p>
                  <w:pPr>
                    <w:widowControl/>
                    <w:jc w:val="center"/>
                    <w:rPr>
                      <w:rFonts w:cs="Times New Roman"/>
                      <w:sz w:val="21"/>
                      <w:u w:val="single"/>
                    </w:rPr>
                  </w:pPr>
                  <w:r>
                    <w:rPr>
                      <w:rFonts w:hint="eastAsia" w:ascii="宋体" w:hAnsi="宋体" w:eastAsia="宋体" w:cs="宋体"/>
                      <w:color w:val="000000"/>
                      <w:kern w:val="0"/>
                      <w:sz w:val="21"/>
                      <w:u w:val="single"/>
                      <w:lang w:bidi="ar"/>
                    </w:rPr>
                    <w:t>华新水泥（岳阳）有限公司</w:t>
                  </w:r>
                </w:p>
              </w:tc>
              <w:tc>
                <w:tcPr>
                  <w:tcW w:w="1768" w:type="dxa"/>
                  <w:vAlign w:val="center"/>
                </w:tcPr>
                <w:p>
                  <w:pPr>
                    <w:widowControl/>
                    <w:jc w:val="center"/>
                    <w:rPr>
                      <w:rFonts w:cs="Times New Roman"/>
                      <w:sz w:val="21"/>
                      <w:u w:val="single"/>
                    </w:rPr>
                  </w:pPr>
                  <w:r>
                    <w:rPr>
                      <w:rFonts w:hint="eastAsia" w:ascii="宋体" w:hAnsi="宋体" w:eastAsia="宋体" w:cs="宋体"/>
                      <w:color w:val="000000"/>
                      <w:kern w:val="0"/>
                      <w:sz w:val="21"/>
                      <w:u w:val="single"/>
                      <w:lang w:bidi="ar"/>
                    </w:rPr>
                    <w:t>华新混凝土（岳阳）有限公司</w:t>
                  </w:r>
                </w:p>
              </w:tc>
              <w:tc>
                <w:tcPr>
                  <w:tcW w:w="1787" w:type="dxa"/>
                  <w:vAlign w:val="center"/>
                </w:tcPr>
                <w:p>
                  <w:pPr>
                    <w:widowControl/>
                    <w:jc w:val="center"/>
                    <w:rPr>
                      <w:rFonts w:cs="Times New Roman"/>
                      <w:sz w:val="21"/>
                      <w:u w:val="single"/>
                    </w:rPr>
                  </w:pPr>
                  <w:r>
                    <w:rPr>
                      <w:rFonts w:hint="eastAsia" w:ascii="宋体" w:hAnsi="宋体" w:eastAsia="宋体" w:cs="宋体"/>
                      <w:color w:val="000000"/>
                      <w:kern w:val="0"/>
                      <w:sz w:val="21"/>
                      <w:u w:val="single"/>
                      <w:lang w:bidi="ar"/>
                    </w:rPr>
                    <w:t>富强科技股份有限公司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179" w:type="dxa"/>
                  <w:vAlign w:val="center"/>
                </w:tcPr>
                <w:p>
                  <w:pPr>
                    <w:jc w:val="center"/>
                    <w:rPr>
                      <w:rFonts w:cs="Times New Roman"/>
                      <w:sz w:val="21"/>
                      <w:u w:val="single"/>
                    </w:rPr>
                  </w:pPr>
                  <w:r>
                    <w:rPr>
                      <w:rFonts w:hint="eastAsia" w:cs="Times New Roman"/>
                      <w:sz w:val="21"/>
                      <w:u w:val="single"/>
                    </w:rPr>
                    <w:t>行业类别</w:t>
                  </w:r>
                </w:p>
              </w:tc>
              <w:tc>
                <w:tcPr>
                  <w:tcW w:w="1819" w:type="dxa"/>
                  <w:gridSpan w:val="2"/>
                  <w:vAlign w:val="center"/>
                </w:tcPr>
                <w:p>
                  <w:pPr>
                    <w:jc w:val="center"/>
                    <w:rPr>
                      <w:rFonts w:cs="Times New Roman"/>
                      <w:sz w:val="21"/>
                      <w:u w:val="single"/>
                    </w:rPr>
                  </w:pPr>
                  <w:r>
                    <w:rPr>
                      <w:rFonts w:cs="Times New Roman"/>
                      <w:sz w:val="21"/>
                      <w:u w:val="single"/>
                    </w:rPr>
                    <w:t>C3121</w:t>
                  </w:r>
                  <w:r>
                    <w:rPr>
                      <w:rFonts w:hint="eastAsia" w:cs="Times New Roman"/>
                      <w:sz w:val="21"/>
                      <w:u w:val="single"/>
                    </w:rPr>
                    <w:t>水泥制品业</w:t>
                  </w:r>
                </w:p>
              </w:tc>
              <w:tc>
                <w:tcPr>
                  <w:tcW w:w="1749" w:type="dxa"/>
                  <w:vAlign w:val="center"/>
                </w:tcPr>
                <w:p>
                  <w:pPr>
                    <w:jc w:val="center"/>
                    <w:rPr>
                      <w:rFonts w:cs="Times New Roman"/>
                      <w:sz w:val="21"/>
                      <w:u w:val="single"/>
                    </w:rPr>
                  </w:pPr>
                  <w:r>
                    <w:rPr>
                      <w:rFonts w:cs="Times New Roman"/>
                      <w:sz w:val="21"/>
                      <w:u w:val="single"/>
                    </w:rPr>
                    <w:t>C3121</w:t>
                  </w:r>
                  <w:r>
                    <w:rPr>
                      <w:rFonts w:hint="eastAsia" w:cs="Times New Roman"/>
                      <w:sz w:val="21"/>
                      <w:u w:val="single"/>
                    </w:rPr>
                    <w:t>水泥制品业</w:t>
                  </w:r>
                </w:p>
              </w:tc>
              <w:tc>
                <w:tcPr>
                  <w:tcW w:w="1768" w:type="dxa"/>
                  <w:vAlign w:val="center"/>
                </w:tcPr>
                <w:p>
                  <w:pPr>
                    <w:jc w:val="center"/>
                    <w:rPr>
                      <w:rFonts w:cs="Times New Roman"/>
                      <w:sz w:val="21"/>
                      <w:u w:val="single"/>
                    </w:rPr>
                  </w:pPr>
                  <w:r>
                    <w:rPr>
                      <w:rFonts w:cs="Times New Roman"/>
                      <w:sz w:val="21"/>
                      <w:u w:val="single"/>
                    </w:rPr>
                    <w:t>C3121</w:t>
                  </w:r>
                  <w:r>
                    <w:rPr>
                      <w:rFonts w:hint="eastAsia" w:cs="Times New Roman"/>
                      <w:sz w:val="21"/>
                      <w:u w:val="single"/>
                    </w:rPr>
                    <w:t>水泥制品业</w:t>
                  </w:r>
                </w:p>
              </w:tc>
              <w:tc>
                <w:tcPr>
                  <w:tcW w:w="1787" w:type="dxa"/>
                  <w:vAlign w:val="center"/>
                </w:tcPr>
                <w:p>
                  <w:pPr>
                    <w:jc w:val="center"/>
                    <w:rPr>
                      <w:rFonts w:cs="Times New Roman"/>
                      <w:sz w:val="21"/>
                      <w:u w:val="single"/>
                    </w:rPr>
                  </w:pPr>
                  <w:r>
                    <w:rPr>
                      <w:rFonts w:cs="Times New Roman"/>
                      <w:sz w:val="21"/>
                      <w:u w:val="single"/>
                    </w:rPr>
                    <w:t>C3021</w:t>
                  </w:r>
                  <w:r>
                    <w:rPr>
                      <w:rFonts w:hint="eastAsia" w:cs="Times New Roman"/>
                      <w:sz w:val="21"/>
                      <w:u w:val="single"/>
                    </w:rPr>
                    <w:t>水泥制</w:t>
                  </w:r>
                </w:p>
                <w:p>
                  <w:pPr>
                    <w:jc w:val="center"/>
                    <w:rPr>
                      <w:rFonts w:cs="Times New Roman"/>
                      <w:sz w:val="21"/>
                      <w:u w:val="single"/>
                    </w:rPr>
                  </w:pPr>
                  <w:r>
                    <w:rPr>
                      <w:rFonts w:hint="eastAsia" w:cs="Times New Roman"/>
                      <w:sz w:val="21"/>
                      <w:u w:val="single"/>
                    </w:rPr>
                    <w:t>品制造、</w:t>
                  </w:r>
                  <w:r>
                    <w:rPr>
                      <w:rFonts w:cs="Times New Roman"/>
                      <w:sz w:val="21"/>
                      <w:u w:val="single"/>
                    </w:rPr>
                    <w:t xml:space="preserve">C3099 </w:t>
                  </w:r>
                  <w:r>
                    <w:rPr>
                      <w:rFonts w:hint="eastAsia" w:cs="Times New Roman"/>
                      <w:sz w:val="21"/>
                      <w:u w:val="single"/>
                    </w:rPr>
                    <w:t>其他非金属矿物制品制造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主要产品及规模</w:t>
                  </w:r>
                </w:p>
              </w:tc>
              <w:tc>
                <w:tcPr>
                  <w:tcW w:w="911" w:type="dxa"/>
                  <w:vAlign w:val="center"/>
                </w:tcPr>
                <w:p>
                  <w:pPr>
                    <w:widowControl/>
                    <w:jc w:val="center"/>
                    <w:rPr>
                      <w:sz w:val="21"/>
                      <w:u w:val="single"/>
                    </w:rPr>
                  </w:pPr>
                  <w:r>
                    <w:rPr>
                      <w:rFonts w:hint="eastAsia" w:ascii="宋体" w:hAnsi="宋体" w:eastAsia="宋体" w:cs="宋体"/>
                      <w:color w:val="000000"/>
                      <w:kern w:val="0"/>
                      <w:sz w:val="21"/>
                      <w:u w:val="single"/>
                      <w:lang w:bidi="ar"/>
                    </w:rPr>
                    <w:t>年产</w:t>
                  </w:r>
                  <w:r>
                    <w:rPr>
                      <w:rFonts w:eastAsia="宋体" w:cs="Times New Roman"/>
                      <w:color w:val="000000"/>
                      <w:kern w:val="0"/>
                      <w:sz w:val="21"/>
                      <w:u w:val="single"/>
                      <w:lang w:bidi="ar"/>
                    </w:rPr>
                    <w:t>150</w:t>
                  </w:r>
                  <w:r>
                    <w:rPr>
                      <w:rFonts w:hint="eastAsia" w:ascii="宋体" w:hAnsi="宋体" w:eastAsia="宋体" w:cs="宋体"/>
                      <w:color w:val="000000"/>
                      <w:kern w:val="0"/>
                      <w:sz w:val="21"/>
                      <w:u w:val="single"/>
                      <w:lang w:bidi="ar"/>
                    </w:rPr>
                    <w:t>万立方米预拌混凝土</w:t>
                  </w:r>
                </w:p>
                <w:p>
                  <w:pPr>
                    <w:jc w:val="center"/>
                    <w:rPr>
                      <w:rFonts w:cs="Times New Roman"/>
                      <w:sz w:val="21"/>
                      <w:u w:val="single"/>
                    </w:rPr>
                  </w:pPr>
                </w:p>
              </w:tc>
              <w:tc>
                <w:tcPr>
                  <w:tcW w:w="908" w:type="dxa"/>
                  <w:vAlign w:val="center"/>
                </w:tcPr>
                <w:p>
                  <w:pPr>
                    <w:widowControl/>
                    <w:jc w:val="center"/>
                    <w:rPr>
                      <w:rFonts w:cs="Times New Roman"/>
                      <w:sz w:val="21"/>
                      <w:u w:val="single"/>
                    </w:rPr>
                  </w:pPr>
                  <w:r>
                    <w:rPr>
                      <w:rFonts w:hint="eastAsia" w:ascii="宋体" w:hAnsi="宋体" w:eastAsia="宋体" w:cs="宋体"/>
                      <w:color w:val="000000"/>
                      <w:kern w:val="0"/>
                      <w:sz w:val="21"/>
                      <w:u w:val="single"/>
                      <w:lang w:bidi="ar"/>
                    </w:rPr>
                    <w:t>年产</w:t>
                  </w:r>
                  <w:r>
                    <w:rPr>
                      <w:rFonts w:eastAsia="宋体" w:cs="Times New Roman"/>
                      <w:color w:val="000000"/>
                      <w:kern w:val="0"/>
                      <w:sz w:val="21"/>
                      <w:u w:val="single"/>
                      <w:lang w:bidi="ar"/>
                    </w:rPr>
                    <w:t>30</w:t>
                  </w:r>
                  <w:r>
                    <w:rPr>
                      <w:rFonts w:hint="eastAsia" w:ascii="宋体" w:hAnsi="宋体" w:eastAsia="宋体" w:cs="宋体"/>
                      <w:color w:val="000000"/>
                      <w:kern w:val="0"/>
                      <w:sz w:val="21"/>
                      <w:u w:val="single"/>
                      <w:lang w:bidi="ar"/>
                    </w:rPr>
                    <w:t>万立方米预拌混凝土、</w:t>
                  </w:r>
                  <w:r>
                    <w:rPr>
                      <w:rFonts w:eastAsia="宋体" w:cs="Times New Roman"/>
                      <w:color w:val="000000"/>
                      <w:kern w:val="0"/>
                      <w:sz w:val="21"/>
                      <w:u w:val="single"/>
                      <w:lang w:bidi="ar"/>
                    </w:rPr>
                    <w:t>150</w:t>
                  </w:r>
                  <w:r>
                    <w:rPr>
                      <w:rFonts w:hint="eastAsia" w:ascii="宋体" w:hAnsi="宋体" w:eastAsia="宋体" w:cs="宋体"/>
                      <w:color w:val="000000"/>
                      <w:kern w:val="0"/>
                      <w:sz w:val="21"/>
                      <w:u w:val="single"/>
                      <w:lang w:bidi="ar"/>
                    </w:rPr>
                    <w:t>万米预应高强混凝土管桩</w:t>
                  </w:r>
                </w:p>
              </w:tc>
              <w:tc>
                <w:tcPr>
                  <w:tcW w:w="1749" w:type="dxa"/>
                  <w:vAlign w:val="center"/>
                </w:tcPr>
                <w:p>
                  <w:pPr>
                    <w:widowControl/>
                    <w:jc w:val="center"/>
                    <w:rPr>
                      <w:rFonts w:cs="Times New Roman"/>
                      <w:sz w:val="21"/>
                      <w:u w:val="single"/>
                    </w:rPr>
                  </w:pPr>
                  <w:r>
                    <w:rPr>
                      <w:rFonts w:eastAsia="宋体" w:cs="Times New Roman"/>
                      <w:color w:val="000000"/>
                      <w:kern w:val="0"/>
                      <w:sz w:val="21"/>
                      <w:u w:val="single"/>
                      <w:lang w:bidi="ar"/>
                    </w:rPr>
                    <w:t>年产水泥140万吨</w:t>
                  </w:r>
                </w:p>
              </w:tc>
              <w:tc>
                <w:tcPr>
                  <w:tcW w:w="1768" w:type="dxa"/>
                  <w:vAlign w:val="center"/>
                </w:tcPr>
                <w:p>
                  <w:pPr>
                    <w:widowControl/>
                    <w:jc w:val="center"/>
                    <w:rPr>
                      <w:rFonts w:eastAsia="宋体" w:cs="Times New Roman"/>
                      <w:color w:val="000000"/>
                      <w:kern w:val="0"/>
                      <w:sz w:val="21"/>
                      <w:u w:val="single"/>
                      <w:lang w:bidi="ar"/>
                    </w:rPr>
                  </w:pPr>
                  <w:r>
                    <w:rPr>
                      <w:rFonts w:eastAsia="宋体" w:cs="Times New Roman"/>
                      <w:color w:val="000000"/>
                      <w:kern w:val="0"/>
                      <w:sz w:val="21"/>
                      <w:u w:val="single"/>
                      <w:lang w:bidi="ar"/>
                    </w:rPr>
                    <w:t>年产 60万方混凝土（其中C20</w:t>
                  </w:r>
                </w:p>
                <w:p>
                  <w:pPr>
                    <w:widowControl/>
                    <w:jc w:val="center"/>
                    <w:rPr>
                      <w:rFonts w:cs="Times New Roman"/>
                      <w:sz w:val="21"/>
                      <w:u w:val="single"/>
                    </w:rPr>
                  </w:pPr>
                  <w:r>
                    <w:rPr>
                      <w:rFonts w:eastAsia="宋体" w:cs="Times New Roman"/>
                      <w:color w:val="000000"/>
                      <w:kern w:val="0"/>
                      <w:sz w:val="21"/>
                      <w:u w:val="single"/>
                      <w:lang w:bidi="ar"/>
                    </w:rPr>
                    <w:t>能力10万方、C30能力40万方、C40能力10万方）</w:t>
                  </w:r>
                </w:p>
              </w:tc>
              <w:tc>
                <w:tcPr>
                  <w:tcW w:w="1787" w:type="dxa"/>
                  <w:vAlign w:val="center"/>
                </w:tcPr>
                <w:p>
                  <w:pPr>
                    <w:widowControl/>
                    <w:jc w:val="center"/>
                    <w:rPr>
                      <w:rFonts w:eastAsia="宋体" w:cs="Times New Roman"/>
                      <w:color w:val="000000"/>
                      <w:kern w:val="0"/>
                      <w:sz w:val="21"/>
                      <w:u w:val="single"/>
                      <w:lang w:bidi="ar"/>
                    </w:rPr>
                  </w:pPr>
                  <w:r>
                    <w:rPr>
                      <w:rFonts w:hint="eastAsia" w:eastAsia="宋体" w:cs="Times New Roman"/>
                      <w:color w:val="000000"/>
                      <w:kern w:val="0"/>
                      <w:sz w:val="21"/>
                      <w:u w:val="single"/>
                      <w:lang w:bidi="ar"/>
                    </w:rPr>
                    <w:t>年产干粉砂浆</w:t>
                  </w:r>
                  <w:r>
                    <w:rPr>
                      <w:rFonts w:eastAsia="宋体" w:cs="Times New Roman"/>
                      <w:color w:val="000000"/>
                      <w:kern w:val="0"/>
                      <w:sz w:val="21"/>
                      <w:u w:val="single"/>
                      <w:lang w:bidi="ar"/>
                    </w:rPr>
                    <w:t>40</w:t>
                  </w:r>
                  <w:r>
                    <w:rPr>
                      <w:rFonts w:hint="eastAsia" w:eastAsia="宋体" w:cs="Times New Roman"/>
                      <w:color w:val="000000"/>
                      <w:kern w:val="0"/>
                      <w:sz w:val="21"/>
                      <w:u w:val="single"/>
                      <w:lang w:bidi="ar"/>
                    </w:rPr>
                    <w:t>万吨、</w:t>
                  </w:r>
                  <w:r>
                    <w:rPr>
                      <w:rFonts w:eastAsia="宋体" w:cs="Times New Roman"/>
                      <w:color w:val="000000"/>
                      <w:kern w:val="0"/>
                      <w:sz w:val="21"/>
                      <w:u w:val="single"/>
                      <w:lang w:bidi="ar"/>
                    </w:rPr>
                    <w:t>270</w:t>
                  </w:r>
                  <w:r>
                    <w:rPr>
                      <w:rFonts w:hint="eastAsia" w:eastAsia="宋体" w:cs="Times New Roman"/>
                      <w:color w:val="000000"/>
                      <w:kern w:val="0"/>
                      <w:sz w:val="21"/>
                      <w:u w:val="single"/>
                      <w:lang w:bidi="ar"/>
                    </w:rPr>
                    <w:t>型环保混凝土</w:t>
                  </w:r>
                  <w:r>
                    <w:rPr>
                      <w:rFonts w:eastAsia="宋体" w:cs="Times New Roman"/>
                      <w:color w:val="000000"/>
                      <w:kern w:val="0"/>
                      <w:sz w:val="21"/>
                      <w:u w:val="single"/>
                      <w:lang w:bidi="ar"/>
                    </w:rPr>
                    <w:t>200</w:t>
                  </w:r>
                  <w:r>
                    <w:rPr>
                      <w:rFonts w:hint="eastAsia" w:eastAsia="宋体" w:cs="Times New Roman"/>
                      <w:color w:val="000000"/>
                      <w:kern w:val="0"/>
                      <w:sz w:val="21"/>
                      <w:u w:val="single"/>
                      <w:lang w:bidi="ar"/>
                    </w:rPr>
                    <w:t>万</w:t>
                  </w:r>
                  <w:r>
                    <w:rPr>
                      <w:rFonts w:eastAsia="宋体" w:cs="Times New Roman"/>
                      <w:color w:val="000000"/>
                      <w:kern w:val="0"/>
                      <w:sz w:val="21"/>
                      <w:u w:val="single"/>
                      <w:lang w:bidi="ar"/>
                    </w:rPr>
                    <w:t>m</w:t>
                  </w:r>
                  <w:r>
                    <w:rPr>
                      <w:rFonts w:eastAsia="宋体" w:cs="Times New Roman"/>
                      <w:color w:val="000000"/>
                      <w:kern w:val="0"/>
                      <w:sz w:val="21"/>
                      <w:u w:val="single"/>
                      <w:vertAlign w:val="superscript"/>
                      <w:lang w:bidi="ar"/>
                    </w:rPr>
                    <w:t>3</w:t>
                  </w:r>
                  <w:r>
                    <w:rPr>
                      <w:rFonts w:hint="eastAsia" w:eastAsia="宋体" w:cs="Times New Roman"/>
                      <w:color w:val="000000"/>
                      <w:kern w:val="0"/>
                      <w:sz w:val="21"/>
                      <w:u w:val="single"/>
                      <w:lang w:bidi="ar"/>
                    </w:rPr>
                    <w:t>、预制构件（预应力管桩）</w:t>
                  </w:r>
                  <w:r>
                    <w:rPr>
                      <w:rFonts w:eastAsia="宋体" w:cs="Times New Roman"/>
                      <w:color w:val="000000"/>
                      <w:kern w:val="0"/>
                      <w:sz w:val="21"/>
                      <w:u w:val="single"/>
                      <w:lang w:bidi="ar"/>
                    </w:rPr>
                    <w:t>150</w:t>
                  </w:r>
                  <w:r>
                    <w:rPr>
                      <w:rFonts w:hint="eastAsia" w:eastAsia="宋体" w:cs="Times New Roman"/>
                      <w:color w:val="000000"/>
                      <w:kern w:val="0"/>
                      <w:sz w:val="21"/>
                      <w:u w:val="single"/>
                      <w:lang w:bidi="ar"/>
                    </w:rPr>
                    <w:t>万</w:t>
                  </w:r>
                  <w:r>
                    <w:rPr>
                      <w:rFonts w:eastAsia="宋体" w:cs="Times New Roman"/>
                      <w:color w:val="000000"/>
                      <w:kern w:val="0"/>
                      <w:sz w:val="21"/>
                      <w:u w:val="single"/>
                      <w:lang w:bidi="ar"/>
                    </w:rPr>
                    <w:t>m</w:t>
                  </w:r>
                </w:p>
                <w:p>
                  <w:pPr>
                    <w:jc w:val="center"/>
                    <w:rPr>
                      <w:rFonts w:cs="Times New Roman"/>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面积（m</w:t>
                  </w:r>
                  <w:r>
                    <w:rPr>
                      <w:rFonts w:hint="eastAsia" w:cs="Times New Roman"/>
                      <w:sz w:val="21"/>
                      <w:u w:val="single"/>
                      <w:vertAlign w:val="superscript"/>
                    </w:rPr>
                    <w:t>2</w:t>
                  </w:r>
                  <w:r>
                    <w:rPr>
                      <w:rFonts w:hint="eastAsia" w:cs="Times New Roman"/>
                      <w:sz w:val="21"/>
                      <w:u w:val="single"/>
                    </w:rPr>
                    <w:t>）</w:t>
                  </w:r>
                </w:p>
              </w:tc>
              <w:tc>
                <w:tcPr>
                  <w:tcW w:w="911" w:type="dxa"/>
                  <w:vAlign w:val="center"/>
                </w:tcPr>
                <w:p>
                  <w:pPr>
                    <w:jc w:val="center"/>
                    <w:rPr>
                      <w:rFonts w:cs="Times New Roman"/>
                      <w:sz w:val="21"/>
                      <w:u w:val="single"/>
                    </w:rPr>
                  </w:pPr>
                  <w:r>
                    <w:rPr>
                      <w:rFonts w:hint="eastAsia" w:cs="Times New Roman"/>
                      <w:sz w:val="21"/>
                      <w:u w:val="single"/>
                    </w:rPr>
                    <w:t>18730</w:t>
                  </w:r>
                </w:p>
              </w:tc>
              <w:tc>
                <w:tcPr>
                  <w:tcW w:w="908" w:type="dxa"/>
                  <w:vAlign w:val="center"/>
                </w:tcPr>
                <w:p>
                  <w:pPr>
                    <w:jc w:val="center"/>
                    <w:rPr>
                      <w:rFonts w:cs="Times New Roman"/>
                      <w:sz w:val="21"/>
                      <w:u w:val="single"/>
                    </w:rPr>
                  </w:pPr>
                  <w:r>
                    <w:rPr>
                      <w:rFonts w:hint="eastAsia" w:cs="Times New Roman"/>
                      <w:sz w:val="21"/>
                      <w:u w:val="single"/>
                    </w:rPr>
                    <w:t>34596</w:t>
                  </w:r>
                </w:p>
              </w:tc>
              <w:tc>
                <w:tcPr>
                  <w:tcW w:w="1749" w:type="dxa"/>
                  <w:vAlign w:val="center"/>
                </w:tcPr>
                <w:p>
                  <w:pPr>
                    <w:widowControl/>
                    <w:jc w:val="center"/>
                    <w:rPr>
                      <w:rFonts w:cs="Times New Roman"/>
                      <w:sz w:val="21"/>
                      <w:u w:val="single"/>
                    </w:rPr>
                  </w:pPr>
                  <w:r>
                    <w:rPr>
                      <w:rFonts w:eastAsia="宋体" w:cs="Times New Roman"/>
                      <w:color w:val="000000"/>
                      <w:kern w:val="0"/>
                      <w:sz w:val="21"/>
                      <w:u w:val="single"/>
                      <w:lang w:bidi="ar"/>
                    </w:rPr>
                    <w:t>13333.4</w:t>
                  </w:r>
                </w:p>
              </w:tc>
              <w:tc>
                <w:tcPr>
                  <w:tcW w:w="1768" w:type="dxa"/>
                  <w:vAlign w:val="center"/>
                </w:tcPr>
                <w:p>
                  <w:pPr>
                    <w:jc w:val="center"/>
                    <w:rPr>
                      <w:rFonts w:cs="Times New Roman"/>
                      <w:sz w:val="21"/>
                      <w:u w:val="single"/>
                    </w:rPr>
                  </w:pPr>
                  <w:r>
                    <w:rPr>
                      <w:rFonts w:eastAsia="宋体" w:cs="Times New Roman"/>
                      <w:color w:val="000000"/>
                      <w:kern w:val="0"/>
                      <w:sz w:val="21"/>
                      <w:u w:val="single"/>
                      <w:lang w:bidi="ar"/>
                    </w:rPr>
                    <w:t>13333.4</w:t>
                  </w:r>
                </w:p>
              </w:tc>
              <w:tc>
                <w:tcPr>
                  <w:tcW w:w="1787" w:type="dxa"/>
                  <w:vAlign w:val="center"/>
                </w:tcPr>
                <w:p>
                  <w:pPr>
                    <w:jc w:val="center"/>
                    <w:rPr>
                      <w:rFonts w:cs="Times New Roman"/>
                      <w:sz w:val="21"/>
                      <w:u w:val="single"/>
                    </w:rPr>
                  </w:pPr>
                  <w:r>
                    <w:rPr>
                      <w:rFonts w:cs="Times New Roman"/>
                      <w:sz w:val="21"/>
                      <w:u w:val="single"/>
                    </w:rPr>
                    <w:t>105975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与规划产业定位符合性判断</w:t>
                  </w:r>
                </w:p>
              </w:tc>
              <w:tc>
                <w:tcPr>
                  <w:tcW w:w="1819" w:type="dxa"/>
                  <w:gridSpan w:val="2"/>
                  <w:vAlign w:val="center"/>
                </w:tcPr>
                <w:p>
                  <w:pPr>
                    <w:jc w:val="center"/>
                    <w:rPr>
                      <w:rFonts w:cs="Times New Roman"/>
                      <w:sz w:val="21"/>
                      <w:u w:val="single"/>
                    </w:rPr>
                  </w:pPr>
                  <w:r>
                    <w:rPr>
                      <w:rFonts w:hint="eastAsia" w:cs="Times New Roman"/>
                      <w:sz w:val="21"/>
                      <w:u w:val="single"/>
                    </w:rPr>
                    <w:t>商品混凝土，不冲突</w:t>
                  </w:r>
                </w:p>
              </w:tc>
              <w:tc>
                <w:tcPr>
                  <w:tcW w:w="1749" w:type="dxa"/>
                  <w:vAlign w:val="center"/>
                </w:tcPr>
                <w:p>
                  <w:pPr>
                    <w:jc w:val="center"/>
                    <w:rPr>
                      <w:rFonts w:cs="Times New Roman"/>
                      <w:sz w:val="21"/>
                      <w:u w:val="single"/>
                    </w:rPr>
                  </w:pPr>
                  <w:r>
                    <w:rPr>
                      <w:rFonts w:hint="eastAsia" w:cs="Times New Roman"/>
                      <w:sz w:val="21"/>
                      <w:u w:val="single"/>
                    </w:rPr>
                    <w:t>水泥制造，不冲突</w:t>
                  </w:r>
                </w:p>
              </w:tc>
              <w:tc>
                <w:tcPr>
                  <w:tcW w:w="1768" w:type="dxa"/>
                  <w:vAlign w:val="center"/>
                </w:tcPr>
                <w:p>
                  <w:pPr>
                    <w:jc w:val="center"/>
                    <w:rPr>
                      <w:rFonts w:cs="Times New Roman"/>
                      <w:sz w:val="21"/>
                      <w:u w:val="single"/>
                    </w:rPr>
                  </w:pPr>
                  <w:r>
                    <w:rPr>
                      <w:rFonts w:hint="eastAsia" w:cs="Times New Roman"/>
                      <w:sz w:val="21"/>
                      <w:u w:val="single"/>
                    </w:rPr>
                    <w:t>水泥制造，不冲突</w:t>
                  </w:r>
                </w:p>
              </w:tc>
              <w:tc>
                <w:tcPr>
                  <w:tcW w:w="1787" w:type="dxa"/>
                  <w:vAlign w:val="center"/>
                </w:tcPr>
                <w:p>
                  <w:pPr>
                    <w:jc w:val="center"/>
                    <w:rPr>
                      <w:rFonts w:cs="Times New Roman"/>
                      <w:sz w:val="21"/>
                      <w:u w:val="single"/>
                    </w:rPr>
                  </w:pPr>
                  <w:r>
                    <w:rPr>
                      <w:rFonts w:hint="eastAsia" w:cs="Times New Roman"/>
                      <w:sz w:val="21"/>
                      <w:u w:val="single"/>
                    </w:rPr>
                    <w:t>水泥制造，不冲突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179" w:type="dxa"/>
                  <w:vAlign w:val="center"/>
                </w:tcPr>
                <w:p>
                  <w:pPr>
                    <w:jc w:val="center"/>
                    <w:rPr>
                      <w:rFonts w:cs="Times New Roman"/>
                      <w:sz w:val="21"/>
                      <w:u w:val="single"/>
                    </w:rPr>
                  </w:pPr>
                  <w:r>
                    <w:rPr>
                      <w:rFonts w:hint="eastAsia" w:cs="Times New Roman"/>
                      <w:sz w:val="21"/>
                      <w:u w:val="single"/>
                    </w:rPr>
                    <w:t>与规划产业布局符合性判断</w:t>
                  </w:r>
                </w:p>
              </w:tc>
              <w:tc>
                <w:tcPr>
                  <w:tcW w:w="1819" w:type="dxa"/>
                  <w:gridSpan w:val="2"/>
                  <w:vAlign w:val="center"/>
                </w:tcPr>
                <w:p>
                  <w:pPr>
                    <w:jc w:val="center"/>
                    <w:rPr>
                      <w:rFonts w:cs="Times New Roman"/>
                      <w:sz w:val="21"/>
                      <w:u w:val="single"/>
                    </w:rPr>
                  </w:pPr>
                  <w:r>
                    <w:rPr>
                      <w:rFonts w:hint="eastAsia" w:cs="Times New Roman"/>
                      <w:sz w:val="21"/>
                      <w:u w:val="single"/>
                    </w:rPr>
                    <w:t>新材料产业区，不符合</w:t>
                  </w:r>
                </w:p>
              </w:tc>
              <w:tc>
                <w:tcPr>
                  <w:tcW w:w="1749" w:type="dxa"/>
                  <w:vAlign w:val="center"/>
                </w:tcPr>
                <w:p>
                  <w:pPr>
                    <w:jc w:val="center"/>
                    <w:rPr>
                      <w:rFonts w:cs="Times New Roman"/>
                      <w:sz w:val="21"/>
                      <w:u w:val="single"/>
                    </w:rPr>
                  </w:pPr>
                  <w:r>
                    <w:rPr>
                      <w:rFonts w:hint="eastAsia" w:cs="Times New Roman"/>
                      <w:sz w:val="21"/>
                      <w:u w:val="single"/>
                    </w:rPr>
                    <w:t>新材料产业区，不符合</w:t>
                  </w:r>
                </w:p>
              </w:tc>
              <w:tc>
                <w:tcPr>
                  <w:tcW w:w="1768" w:type="dxa"/>
                  <w:vAlign w:val="center"/>
                </w:tcPr>
                <w:p>
                  <w:pPr>
                    <w:jc w:val="center"/>
                    <w:rPr>
                      <w:rFonts w:cs="Times New Roman"/>
                      <w:sz w:val="21"/>
                      <w:u w:val="single"/>
                    </w:rPr>
                  </w:pPr>
                  <w:r>
                    <w:rPr>
                      <w:rFonts w:hint="eastAsia" w:cs="Times New Roman"/>
                      <w:sz w:val="21"/>
                      <w:u w:val="single"/>
                    </w:rPr>
                    <w:t>新材料产业区，不符合</w:t>
                  </w:r>
                </w:p>
              </w:tc>
              <w:tc>
                <w:tcPr>
                  <w:tcW w:w="1787" w:type="dxa"/>
                  <w:vAlign w:val="center"/>
                </w:tcPr>
                <w:p>
                  <w:pPr>
                    <w:jc w:val="center"/>
                    <w:rPr>
                      <w:rFonts w:cs="Times New Roman"/>
                      <w:sz w:val="21"/>
                      <w:u w:val="single"/>
                    </w:rPr>
                  </w:pPr>
                  <w:r>
                    <w:rPr>
                      <w:rFonts w:hint="eastAsia" w:cs="Times New Roman"/>
                      <w:sz w:val="21"/>
                      <w:u w:val="single"/>
                    </w:rPr>
                    <w:t>新材料产业区，不符合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工业用地类型符合判断</w:t>
                  </w:r>
                </w:p>
              </w:tc>
              <w:tc>
                <w:tcPr>
                  <w:tcW w:w="1819" w:type="dxa"/>
                  <w:gridSpan w:val="2"/>
                  <w:vAlign w:val="center"/>
                </w:tcPr>
                <w:p>
                  <w:pPr>
                    <w:jc w:val="center"/>
                    <w:rPr>
                      <w:rFonts w:cs="Times New Roman"/>
                      <w:sz w:val="21"/>
                      <w:u w:val="single"/>
                    </w:rPr>
                  </w:pPr>
                  <w:r>
                    <w:rPr>
                      <w:rFonts w:hint="eastAsia" w:cs="Times New Roman"/>
                      <w:sz w:val="21"/>
                      <w:u w:val="single"/>
                    </w:rPr>
                    <w:t>三类工业用地</w:t>
                  </w:r>
                </w:p>
              </w:tc>
              <w:tc>
                <w:tcPr>
                  <w:tcW w:w="1749" w:type="dxa"/>
                  <w:vAlign w:val="center"/>
                </w:tcPr>
                <w:p>
                  <w:pPr>
                    <w:jc w:val="center"/>
                    <w:rPr>
                      <w:rFonts w:cs="Times New Roman"/>
                      <w:sz w:val="21"/>
                      <w:u w:val="single"/>
                    </w:rPr>
                  </w:pPr>
                  <w:r>
                    <w:rPr>
                      <w:rFonts w:hint="eastAsia" w:cs="Times New Roman"/>
                      <w:sz w:val="21"/>
                      <w:u w:val="single"/>
                    </w:rPr>
                    <w:t>三类工业用地</w:t>
                  </w:r>
                </w:p>
              </w:tc>
              <w:tc>
                <w:tcPr>
                  <w:tcW w:w="1768" w:type="dxa"/>
                  <w:vAlign w:val="center"/>
                </w:tcPr>
                <w:p>
                  <w:pPr>
                    <w:jc w:val="center"/>
                    <w:rPr>
                      <w:rFonts w:cs="Times New Roman"/>
                      <w:sz w:val="21"/>
                      <w:u w:val="single"/>
                    </w:rPr>
                  </w:pPr>
                  <w:r>
                    <w:rPr>
                      <w:rFonts w:hint="eastAsia" w:cs="Times New Roman"/>
                      <w:sz w:val="21"/>
                      <w:u w:val="single"/>
                    </w:rPr>
                    <w:t>三类工业用地</w:t>
                  </w:r>
                </w:p>
              </w:tc>
              <w:tc>
                <w:tcPr>
                  <w:tcW w:w="1787" w:type="dxa"/>
                  <w:vAlign w:val="center"/>
                </w:tcPr>
                <w:p>
                  <w:pPr>
                    <w:jc w:val="center"/>
                    <w:rPr>
                      <w:rFonts w:cs="Times New Roman"/>
                      <w:sz w:val="21"/>
                      <w:u w:val="single"/>
                    </w:rPr>
                  </w:pPr>
                  <w:r>
                    <w:rPr>
                      <w:rFonts w:hint="eastAsia" w:cs="Times New Roman"/>
                      <w:sz w:val="21"/>
                      <w:u w:val="single"/>
                    </w:rPr>
                    <w:t>三类工业用地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环评批复及时间</w:t>
                  </w:r>
                </w:p>
              </w:tc>
              <w:tc>
                <w:tcPr>
                  <w:tcW w:w="911" w:type="dxa"/>
                  <w:vAlign w:val="center"/>
                </w:tcPr>
                <w:p>
                  <w:pPr>
                    <w:jc w:val="center"/>
                    <w:rPr>
                      <w:rFonts w:cs="Times New Roman"/>
                      <w:sz w:val="21"/>
                      <w:u w:val="single"/>
                    </w:rPr>
                  </w:pPr>
                  <w:r>
                    <w:rPr>
                      <w:rFonts w:hint="eastAsia" w:cs="Times New Roman"/>
                      <w:sz w:val="21"/>
                      <w:u w:val="single"/>
                    </w:rPr>
                    <w:t>岳环评批</w:t>
                  </w:r>
                  <w:r>
                    <w:rPr>
                      <w:rFonts w:cs="Times New Roman"/>
                      <w:sz w:val="21"/>
                      <w:u w:val="single"/>
                    </w:rPr>
                    <w:t>[2015]3</w:t>
                  </w:r>
                  <w:r>
                    <w:rPr>
                      <w:rFonts w:hint="eastAsia" w:cs="Times New Roman"/>
                      <w:sz w:val="21"/>
                      <w:u w:val="single"/>
                    </w:rPr>
                    <w:t>号，</w:t>
                  </w:r>
                  <w:r>
                    <w:rPr>
                      <w:rFonts w:cs="Times New Roman"/>
                      <w:sz w:val="21"/>
                      <w:u w:val="single"/>
                    </w:rPr>
                    <w:t>2015</w:t>
                  </w:r>
                  <w:r>
                    <w:rPr>
                      <w:rFonts w:hint="eastAsia" w:cs="Times New Roman"/>
                      <w:sz w:val="21"/>
                      <w:u w:val="single"/>
                    </w:rPr>
                    <w:t>年</w:t>
                  </w:r>
                  <w:r>
                    <w:rPr>
                      <w:rFonts w:cs="Times New Roman"/>
                      <w:sz w:val="21"/>
                      <w:u w:val="single"/>
                    </w:rPr>
                    <w:t>2</w:t>
                  </w:r>
                  <w:r>
                    <w:rPr>
                      <w:rFonts w:hint="eastAsia" w:cs="Times New Roman"/>
                      <w:sz w:val="21"/>
                      <w:u w:val="single"/>
                    </w:rPr>
                    <w:t>月</w:t>
                  </w:r>
                  <w:r>
                    <w:rPr>
                      <w:rFonts w:cs="Times New Roman"/>
                      <w:sz w:val="21"/>
                      <w:u w:val="single"/>
                    </w:rPr>
                    <w:t>6</w:t>
                  </w:r>
                </w:p>
                <w:p>
                  <w:pPr>
                    <w:jc w:val="center"/>
                    <w:rPr>
                      <w:rFonts w:cs="Times New Roman"/>
                      <w:sz w:val="21"/>
                      <w:u w:val="single"/>
                    </w:rPr>
                  </w:pPr>
                  <w:r>
                    <w:rPr>
                      <w:rFonts w:hint="eastAsia" w:cs="Times New Roman"/>
                      <w:sz w:val="21"/>
                      <w:u w:val="single"/>
                    </w:rPr>
                    <w:t>日</w:t>
                  </w:r>
                </w:p>
              </w:tc>
              <w:tc>
                <w:tcPr>
                  <w:tcW w:w="908" w:type="dxa"/>
                  <w:vAlign w:val="center"/>
                </w:tcPr>
                <w:p>
                  <w:pPr>
                    <w:jc w:val="center"/>
                    <w:rPr>
                      <w:rFonts w:cs="Times New Roman"/>
                      <w:sz w:val="21"/>
                      <w:u w:val="single"/>
                    </w:rPr>
                  </w:pPr>
                  <w:r>
                    <w:rPr>
                      <w:rFonts w:cs="Times New Roman"/>
                      <w:sz w:val="21"/>
                      <w:u w:val="single"/>
                    </w:rPr>
                    <w:t>2011</w:t>
                  </w:r>
                  <w:r>
                    <w:rPr>
                      <w:rFonts w:hint="eastAsia" w:cs="Times New Roman"/>
                      <w:sz w:val="21"/>
                      <w:u w:val="single"/>
                    </w:rPr>
                    <w:t>年</w:t>
                  </w:r>
                  <w:r>
                    <w:rPr>
                      <w:rFonts w:cs="Times New Roman"/>
                      <w:sz w:val="21"/>
                      <w:u w:val="single"/>
                    </w:rPr>
                    <w:t>1</w:t>
                  </w:r>
                  <w:r>
                    <w:rPr>
                      <w:rFonts w:hint="eastAsia" w:cs="Times New Roman"/>
                      <w:sz w:val="21"/>
                      <w:u w:val="single"/>
                    </w:rPr>
                    <w:t xml:space="preserve">月 </w:t>
                  </w:r>
                  <w:r>
                    <w:rPr>
                      <w:rFonts w:cs="Times New Roman"/>
                      <w:sz w:val="21"/>
                      <w:u w:val="single"/>
                    </w:rPr>
                    <w:t>19</w:t>
                  </w:r>
                  <w:r>
                    <w:rPr>
                      <w:rFonts w:hint="eastAsia" w:cs="Times New Roman"/>
                      <w:sz w:val="21"/>
                      <w:u w:val="single"/>
                    </w:rPr>
                    <w:t>日岳阳市环境保护局出具了环境影响登记表审批意见</w:t>
                  </w:r>
                </w:p>
              </w:tc>
              <w:tc>
                <w:tcPr>
                  <w:tcW w:w="1749" w:type="dxa"/>
                  <w:vAlign w:val="center"/>
                </w:tcPr>
                <w:p>
                  <w:pPr>
                    <w:jc w:val="center"/>
                    <w:rPr>
                      <w:rFonts w:cs="Times New Roman"/>
                      <w:sz w:val="21"/>
                      <w:u w:val="single"/>
                    </w:rPr>
                  </w:pPr>
                  <w:r>
                    <w:rPr>
                      <w:rFonts w:hint="eastAsia" w:cs="Times New Roman"/>
                      <w:sz w:val="21"/>
                      <w:u w:val="single"/>
                    </w:rPr>
                    <w:t>岳环发</w:t>
                  </w:r>
                  <w:r>
                    <w:rPr>
                      <w:rFonts w:cs="Times New Roman"/>
                      <w:sz w:val="21"/>
                      <w:u w:val="single"/>
                    </w:rPr>
                    <w:t>[2004]27</w:t>
                  </w:r>
                  <w:r>
                    <w:rPr>
                      <w:rFonts w:hint="eastAsia" w:cs="Times New Roman"/>
                      <w:sz w:val="21"/>
                      <w:u w:val="single"/>
                    </w:rPr>
                    <w:t>号，</w:t>
                  </w:r>
                  <w:r>
                    <w:rPr>
                      <w:rFonts w:cs="Times New Roman"/>
                      <w:sz w:val="21"/>
                      <w:u w:val="single"/>
                    </w:rPr>
                    <w:t>2004</w:t>
                  </w:r>
                  <w:r>
                    <w:rPr>
                      <w:rFonts w:hint="eastAsia" w:cs="Times New Roman"/>
                      <w:sz w:val="21"/>
                      <w:u w:val="single"/>
                    </w:rPr>
                    <w:t>年</w:t>
                  </w:r>
                  <w:r>
                    <w:rPr>
                      <w:rFonts w:cs="Times New Roman"/>
                      <w:sz w:val="21"/>
                      <w:u w:val="single"/>
                    </w:rPr>
                    <w:t>6</w:t>
                  </w:r>
                  <w:r>
                    <w:rPr>
                      <w:rFonts w:hint="eastAsia" w:cs="Times New Roman"/>
                      <w:sz w:val="21"/>
                      <w:u w:val="single"/>
                    </w:rPr>
                    <w:t>月</w:t>
                  </w:r>
                  <w:r>
                    <w:rPr>
                      <w:rFonts w:cs="Times New Roman"/>
                      <w:sz w:val="21"/>
                      <w:u w:val="single"/>
                    </w:rPr>
                    <w:t>1</w:t>
                  </w:r>
                  <w:r>
                    <w:rPr>
                      <w:rFonts w:hint="eastAsia" w:cs="Times New Roman"/>
                      <w:sz w:val="21"/>
                      <w:u w:val="single"/>
                    </w:rPr>
                    <w:t>日</w:t>
                  </w:r>
                </w:p>
              </w:tc>
              <w:tc>
                <w:tcPr>
                  <w:tcW w:w="1768" w:type="dxa"/>
                  <w:vAlign w:val="center"/>
                </w:tcPr>
                <w:p>
                  <w:pPr>
                    <w:jc w:val="center"/>
                    <w:rPr>
                      <w:rFonts w:cs="Times New Roman"/>
                      <w:sz w:val="21"/>
                      <w:u w:val="single"/>
                    </w:rPr>
                  </w:pPr>
                  <w:r>
                    <w:rPr>
                      <w:rFonts w:cs="Times New Roman"/>
                      <w:sz w:val="21"/>
                      <w:u w:val="single"/>
                    </w:rPr>
                    <w:t>2012</w:t>
                  </w:r>
                  <w:r>
                    <w:rPr>
                      <w:rFonts w:hint="eastAsia" w:cs="Times New Roman"/>
                      <w:sz w:val="21"/>
                      <w:u w:val="single"/>
                    </w:rPr>
                    <w:t>年</w:t>
                  </w:r>
                  <w:r>
                    <w:rPr>
                      <w:rFonts w:cs="Times New Roman"/>
                      <w:sz w:val="21"/>
                      <w:u w:val="single"/>
                    </w:rPr>
                    <w:t>10</w:t>
                  </w:r>
                  <w:r>
                    <w:rPr>
                      <w:rFonts w:hint="eastAsia" w:cs="Times New Roman"/>
                      <w:sz w:val="21"/>
                      <w:u w:val="single"/>
                    </w:rPr>
                    <w:t>月</w:t>
                  </w:r>
                  <w:r>
                    <w:rPr>
                      <w:rFonts w:cs="Times New Roman"/>
                      <w:sz w:val="21"/>
                      <w:u w:val="single"/>
                    </w:rPr>
                    <w:t>18</w:t>
                  </w:r>
                  <w:r>
                    <w:rPr>
                      <w:rFonts w:hint="eastAsia" w:cs="Times New Roman"/>
                      <w:sz w:val="21"/>
                      <w:u w:val="single"/>
                    </w:rPr>
                    <w:t>日岳阳市环境</w:t>
                  </w:r>
                </w:p>
                <w:p>
                  <w:pPr>
                    <w:jc w:val="center"/>
                    <w:rPr>
                      <w:rFonts w:cs="Times New Roman"/>
                      <w:sz w:val="21"/>
                      <w:u w:val="single"/>
                    </w:rPr>
                  </w:pPr>
                  <w:r>
                    <w:rPr>
                      <w:rFonts w:hint="eastAsia" w:cs="Times New Roman"/>
                      <w:sz w:val="21"/>
                      <w:u w:val="single"/>
                    </w:rPr>
                    <w:t>保护局对项目环评进行了批</w:t>
                  </w:r>
                </w:p>
                <w:p>
                  <w:pPr>
                    <w:jc w:val="center"/>
                    <w:rPr>
                      <w:rFonts w:cs="Times New Roman"/>
                      <w:sz w:val="21"/>
                      <w:u w:val="single"/>
                    </w:rPr>
                  </w:pPr>
                  <w:r>
                    <w:rPr>
                      <w:rFonts w:hint="eastAsia" w:cs="Times New Roman"/>
                      <w:sz w:val="21"/>
                      <w:u w:val="single"/>
                    </w:rPr>
                    <w:t>复</w:t>
                  </w:r>
                </w:p>
              </w:tc>
              <w:tc>
                <w:tcPr>
                  <w:tcW w:w="1787" w:type="dxa"/>
                  <w:vAlign w:val="center"/>
                </w:tcPr>
                <w:p>
                  <w:pPr>
                    <w:jc w:val="center"/>
                    <w:rPr>
                      <w:rFonts w:cs="Times New Roman"/>
                      <w:sz w:val="21"/>
                      <w:u w:val="single"/>
                    </w:rPr>
                  </w:pPr>
                  <w:r>
                    <w:rPr>
                      <w:rFonts w:hint="eastAsia" w:cs="Times New Roman"/>
                      <w:sz w:val="21"/>
                      <w:u w:val="single"/>
                    </w:rPr>
                    <w:t>岳港环[2020]10号，</w:t>
                  </w:r>
                </w:p>
                <w:p>
                  <w:pPr>
                    <w:jc w:val="center"/>
                    <w:rPr>
                      <w:rFonts w:cs="Times New Roman"/>
                      <w:sz w:val="21"/>
                      <w:u w:val="single"/>
                    </w:rPr>
                  </w:pPr>
                  <w:r>
                    <w:rPr>
                      <w:rFonts w:cs="Times New Roman"/>
                      <w:sz w:val="21"/>
                      <w:u w:val="single"/>
                    </w:rPr>
                    <w:t>2020</w:t>
                  </w:r>
                  <w:r>
                    <w:rPr>
                      <w:rFonts w:hint="eastAsia" w:cs="Times New Roman"/>
                      <w:sz w:val="21"/>
                      <w:u w:val="single"/>
                    </w:rPr>
                    <w:t>年</w:t>
                  </w:r>
                  <w:r>
                    <w:rPr>
                      <w:rFonts w:cs="Times New Roman"/>
                      <w:sz w:val="21"/>
                      <w:u w:val="single"/>
                    </w:rPr>
                    <w:t>8</w:t>
                  </w:r>
                  <w:r>
                    <w:rPr>
                      <w:rFonts w:hint="eastAsia" w:cs="Times New Roman"/>
                      <w:sz w:val="21"/>
                      <w:u w:val="single"/>
                    </w:rPr>
                    <w:t>月</w:t>
                  </w:r>
                  <w:r>
                    <w:rPr>
                      <w:rFonts w:cs="Times New Roman"/>
                      <w:sz w:val="21"/>
                      <w:u w:val="single"/>
                    </w:rPr>
                    <w:t>6</w:t>
                  </w:r>
                </w:p>
                <w:p>
                  <w:pPr>
                    <w:jc w:val="center"/>
                    <w:rPr>
                      <w:rFonts w:cs="Times New Roman"/>
                      <w:sz w:val="21"/>
                      <w:u w:val="single"/>
                    </w:rPr>
                  </w:pPr>
                  <w:r>
                    <w:rPr>
                      <w:rFonts w:hint="eastAsia" w:cs="Times New Roman"/>
                      <w:sz w:val="21"/>
                      <w:u w:val="singl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建成时间/投产日期</w:t>
                  </w:r>
                </w:p>
              </w:tc>
              <w:tc>
                <w:tcPr>
                  <w:tcW w:w="1819" w:type="dxa"/>
                  <w:gridSpan w:val="2"/>
                  <w:vAlign w:val="center"/>
                </w:tcPr>
                <w:p>
                  <w:pPr>
                    <w:jc w:val="center"/>
                    <w:rPr>
                      <w:rFonts w:cs="Times New Roman"/>
                      <w:sz w:val="21"/>
                      <w:u w:val="single"/>
                    </w:rPr>
                  </w:pPr>
                  <w:r>
                    <w:rPr>
                      <w:rFonts w:hint="eastAsia" w:cs="Times New Roman"/>
                      <w:sz w:val="21"/>
                      <w:u w:val="single"/>
                    </w:rPr>
                    <w:t>2015年8月</w:t>
                  </w:r>
                </w:p>
              </w:tc>
              <w:tc>
                <w:tcPr>
                  <w:tcW w:w="1749" w:type="dxa"/>
                  <w:vAlign w:val="center"/>
                </w:tcPr>
                <w:p>
                  <w:pPr>
                    <w:jc w:val="center"/>
                    <w:rPr>
                      <w:rFonts w:cs="Times New Roman"/>
                      <w:sz w:val="21"/>
                      <w:u w:val="single"/>
                    </w:rPr>
                  </w:pPr>
                  <w:r>
                    <w:rPr>
                      <w:rFonts w:hint="eastAsia" w:cs="Times New Roman"/>
                      <w:sz w:val="21"/>
                      <w:u w:val="single"/>
                    </w:rPr>
                    <w:t>2005年</w:t>
                  </w:r>
                </w:p>
              </w:tc>
              <w:tc>
                <w:tcPr>
                  <w:tcW w:w="1768" w:type="dxa"/>
                  <w:vAlign w:val="center"/>
                </w:tcPr>
                <w:p>
                  <w:pPr>
                    <w:widowControl/>
                    <w:jc w:val="center"/>
                    <w:rPr>
                      <w:rFonts w:cs="Times New Roman"/>
                      <w:sz w:val="21"/>
                      <w:u w:val="single"/>
                    </w:rPr>
                  </w:pPr>
                  <w:r>
                    <w:rPr>
                      <w:rFonts w:eastAsia="宋体" w:cs="Times New Roman"/>
                      <w:color w:val="000000"/>
                      <w:kern w:val="0"/>
                      <w:sz w:val="21"/>
                      <w:u w:val="single"/>
                      <w:lang w:bidi="ar"/>
                    </w:rPr>
                    <w:t>2014</w:t>
                  </w:r>
                  <w:r>
                    <w:rPr>
                      <w:rFonts w:hint="eastAsia" w:ascii="宋体" w:hAnsi="宋体" w:eastAsia="宋体" w:cs="宋体"/>
                      <w:color w:val="000000"/>
                      <w:kern w:val="0"/>
                      <w:sz w:val="21"/>
                      <w:u w:val="single"/>
                      <w:lang w:bidi="ar"/>
                    </w:rPr>
                    <w:t>年</w:t>
                  </w:r>
                  <w:r>
                    <w:rPr>
                      <w:rFonts w:eastAsia="宋体" w:cs="Times New Roman"/>
                      <w:color w:val="000000"/>
                      <w:kern w:val="0"/>
                      <w:sz w:val="21"/>
                      <w:u w:val="single"/>
                      <w:lang w:bidi="ar"/>
                    </w:rPr>
                    <w:t>7</w:t>
                  </w:r>
                  <w:r>
                    <w:rPr>
                      <w:rFonts w:hint="eastAsia" w:ascii="宋体" w:hAnsi="宋体" w:eastAsia="宋体" w:cs="宋体"/>
                      <w:color w:val="000000"/>
                      <w:kern w:val="0"/>
                      <w:sz w:val="21"/>
                      <w:u w:val="single"/>
                      <w:lang w:bidi="ar"/>
                    </w:rPr>
                    <w:t>月</w:t>
                  </w:r>
                </w:p>
              </w:tc>
              <w:tc>
                <w:tcPr>
                  <w:tcW w:w="1787" w:type="dxa"/>
                  <w:vAlign w:val="center"/>
                </w:tcPr>
                <w:p>
                  <w:pPr>
                    <w:jc w:val="center"/>
                    <w:rPr>
                      <w:rFonts w:cs="Times New Roman"/>
                      <w:sz w:val="21"/>
                      <w:u w:val="single"/>
                    </w:rPr>
                  </w:pPr>
                  <w:r>
                    <w:rPr>
                      <w:rFonts w:hint="eastAsia" w:cs="Times New Roman"/>
                      <w:sz w:val="21"/>
                      <w:u w:val="single"/>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生产情况</w:t>
                  </w:r>
                </w:p>
              </w:tc>
              <w:tc>
                <w:tcPr>
                  <w:tcW w:w="1819" w:type="dxa"/>
                  <w:gridSpan w:val="2"/>
                  <w:vAlign w:val="center"/>
                </w:tcPr>
                <w:p>
                  <w:pPr>
                    <w:jc w:val="center"/>
                    <w:rPr>
                      <w:rFonts w:cs="Times New Roman"/>
                      <w:sz w:val="21"/>
                      <w:u w:val="single"/>
                    </w:rPr>
                  </w:pPr>
                  <w:r>
                    <w:rPr>
                      <w:rFonts w:hint="eastAsia" w:cs="Times New Roman"/>
                      <w:sz w:val="21"/>
                      <w:u w:val="single"/>
                    </w:rPr>
                    <w:t>正常生产</w:t>
                  </w:r>
                </w:p>
              </w:tc>
              <w:tc>
                <w:tcPr>
                  <w:tcW w:w="1749" w:type="dxa"/>
                  <w:vAlign w:val="center"/>
                </w:tcPr>
                <w:p>
                  <w:pPr>
                    <w:jc w:val="center"/>
                    <w:rPr>
                      <w:rFonts w:cs="Times New Roman"/>
                      <w:sz w:val="21"/>
                      <w:u w:val="single"/>
                    </w:rPr>
                  </w:pPr>
                  <w:r>
                    <w:rPr>
                      <w:rFonts w:hint="eastAsia" w:cs="Times New Roman"/>
                      <w:sz w:val="21"/>
                      <w:u w:val="single"/>
                    </w:rPr>
                    <w:t>正常生产</w:t>
                  </w:r>
                </w:p>
              </w:tc>
              <w:tc>
                <w:tcPr>
                  <w:tcW w:w="1768" w:type="dxa"/>
                  <w:vAlign w:val="center"/>
                </w:tcPr>
                <w:p>
                  <w:pPr>
                    <w:jc w:val="center"/>
                    <w:rPr>
                      <w:rFonts w:cs="Times New Roman"/>
                      <w:sz w:val="21"/>
                      <w:u w:val="single"/>
                    </w:rPr>
                  </w:pPr>
                  <w:r>
                    <w:rPr>
                      <w:rFonts w:hint="eastAsia" w:cs="Times New Roman"/>
                      <w:sz w:val="21"/>
                      <w:u w:val="single"/>
                    </w:rPr>
                    <w:t>正常生产</w:t>
                  </w:r>
                </w:p>
              </w:tc>
              <w:tc>
                <w:tcPr>
                  <w:tcW w:w="1787" w:type="dxa"/>
                  <w:vAlign w:val="center"/>
                </w:tcPr>
                <w:p>
                  <w:pPr>
                    <w:jc w:val="center"/>
                    <w:rPr>
                      <w:rFonts w:cs="Times New Roman"/>
                      <w:sz w:val="21"/>
                      <w:u w:val="single"/>
                    </w:rPr>
                  </w:pPr>
                  <w:r>
                    <w:rPr>
                      <w:rFonts w:hint="eastAsia" w:cs="Times New Roman"/>
                      <w:sz w:val="21"/>
                      <w:u w:val="single"/>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179" w:type="dxa"/>
                  <w:vAlign w:val="center"/>
                </w:tcPr>
                <w:p>
                  <w:pPr>
                    <w:jc w:val="center"/>
                    <w:rPr>
                      <w:rFonts w:cs="Times New Roman"/>
                      <w:sz w:val="21"/>
                      <w:u w:val="single"/>
                    </w:rPr>
                  </w:pPr>
                  <w:r>
                    <w:rPr>
                      <w:rFonts w:hint="eastAsia" w:cs="Times New Roman"/>
                      <w:sz w:val="21"/>
                      <w:u w:val="single"/>
                    </w:rPr>
                    <w:t>验收情况</w:t>
                  </w:r>
                </w:p>
              </w:tc>
              <w:tc>
                <w:tcPr>
                  <w:tcW w:w="911" w:type="dxa"/>
                  <w:vAlign w:val="center"/>
                </w:tcPr>
                <w:p>
                  <w:pPr>
                    <w:jc w:val="center"/>
                    <w:rPr>
                      <w:rFonts w:cs="Times New Roman"/>
                      <w:sz w:val="21"/>
                      <w:u w:val="single"/>
                    </w:rPr>
                  </w:pPr>
                  <w:r>
                    <w:rPr>
                      <w:rFonts w:cs="Times New Roman"/>
                      <w:sz w:val="21"/>
                      <w:u w:val="single"/>
                    </w:rPr>
                    <w:t>岳港环评验[2016]14号，</w:t>
                  </w:r>
                </w:p>
                <w:p>
                  <w:pPr>
                    <w:jc w:val="center"/>
                    <w:rPr>
                      <w:rFonts w:cs="Times New Roman"/>
                      <w:sz w:val="21"/>
                      <w:u w:val="single"/>
                    </w:rPr>
                  </w:pPr>
                  <w:r>
                    <w:rPr>
                      <w:rFonts w:cs="Times New Roman"/>
                      <w:sz w:val="21"/>
                      <w:u w:val="single"/>
                    </w:rPr>
                    <w:t>2016年11月1</w:t>
                  </w:r>
                </w:p>
                <w:p>
                  <w:pPr>
                    <w:jc w:val="center"/>
                    <w:rPr>
                      <w:rFonts w:cs="Times New Roman"/>
                      <w:sz w:val="21"/>
                      <w:u w:val="single"/>
                    </w:rPr>
                  </w:pPr>
                  <w:r>
                    <w:rPr>
                      <w:rFonts w:cs="Times New Roman"/>
                      <w:sz w:val="21"/>
                      <w:u w:val="single"/>
                    </w:rPr>
                    <w:t>日</w:t>
                  </w:r>
                </w:p>
              </w:tc>
              <w:tc>
                <w:tcPr>
                  <w:tcW w:w="908" w:type="dxa"/>
                  <w:vAlign w:val="center"/>
                </w:tcPr>
                <w:p>
                  <w:pPr>
                    <w:jc w:val="center"/>
                    <w:rPr>
                      <w:rFonts w:cs="Times New Roman"/>
                      <w:sz w:val="21"/>
                      <w:u w:val="single"/>
                    </w:rPr>
                  </w:pPr>
                  <w:r>
                    <w:rPr>
                      <w:rFonts w:hint="eastAsia" w:cs="Times New Roman"/>
                      <w:sz w:val="21"/>
                      <w:u w:val="single"/>
                    </w:rPr>
                    <w:t>岳港环评验</w:t>
                  </w:r>
                </w:p>
                <w:p>
                  <w:pPr>
                    <w:jc w:val="center"/>
                    <w:rPr>
                      <w:rFonts w:cs="Times New Roman"/>
                      <w:sz w:val="21"/>
                      <w:u w:val="single"/>
                    </w:rPr>
                  </w:pPr>
                  <w:r>
                    <w:rPr>
                      <w:rFonts w:cs="Times New Roman"/>
                      <w:sz w:val="21"/>
                      <w:u w:val="single"/>
                    </w:rPr>
                    <w:t>[2016]15</w:t>
                  </w:r>
                  <w:r>
                    <w:rPr>
                      <w:rFonts w:hint="eastAsia" w:cs="Times New Roman"/>
                      <w:sz w:val="21"/>
                      <w:u w:val="single"/>
                    </w:rPr>
                    <w:t>号，</w:t>
                  </w:r>
                </w:p>
                <w:p>
                  <w:pPr>
                    <w:jc w:val="center"/>
                    <w:rPr>
                      <w:rFonts w:cs="Times New Roman"/>
                      <w:sz w:val="21"/>
                      <w:u w:val="single"/>
                    </w:rPr>
                  </w:pPr>
                  <w:r>
                    <w:rPr>
                      <w:rFonts w:cs="Times New Roman"/>
                      <w:sz w:val="21"/>
                      <w:u w:val="single"/>
                    </w:rPr>
                    <w:t>2016</w:t>
                  </w:r>
                  <w:r>
                    <w:rPr>
                      <w:rFonts w:hint="eastAsia" w:cs="Times New Roman"/>
                      <w:sz w:val="21"/>
                      <w:u w:val="single"/>
                    </w:rPr>
                    <w:t>年</w:t>
                  </w:r>
                  <w:r>
                    <w:rPr>
                      <w:rFonts w:cs="Times New Roman"/>
                      <w:sz w:val="21"/>
                      <w:u w:val="single"/>
                    </w:rPr>
                    <w:t xml:space="preserve">11 </w:t>
                  </w:r>
                  <w:r>
                    <w:rPr>
                      <w:rFonts w:hint="eastAsia" w:cs="Times New Roman"/>
                      <w:sz w:val="21"/>
                      <w:u w:val="single"/>
                    </w:rPr>
                    <w:t>月</w:t>
                  </w:r>
                  <w:r>
                    <w:rPr>
                      <w:rFonts w:cs="Times New Roman"/>
                      <w:sz w:val="21"/>
                      <w:u w:val="single"/>
                    </w:rPr>
                    <w:t>1</w:t>
                  </w:r>
                  <w:r>
                    <w:rPr>
                      <w:rFonts w:hint="eastAsia" w:cs="Times New Roman"/>
                      <w:sz w:val="21"/>
                      <w:u w:val="single"/>
                    </w:rPr>
                    <w:t>日</w:t>
                  </w:r>
                </w:p>
              </w:tc>
              <w:tc>
                <w:tcPr>
                  <w:tcW w:w="1749" w:type="dxa"/>
                  <w:vAlign w:val="center"/>
                </w:tcPr>
                <w:p>
                  <w:pPr>
                    <w:jc w:val="center"/>
                    <w:rPr>
                      <w:rFonts w:cs="Times New Roman"/>
                      <w:sz w:val="21"/>
                      <w:u w:val="single"/>
                    </w:rPr>
                  </w:pPr>
                  <w:r>
                    <w:rPr>
                      <w:rFonts w:hint="eastAsia" w:cs="Times New Roman"/>
                      <w:sz w:val="21"/>
                      <w:u w:val="single"/>
                    </w:rPr>
                    <w:t>岳环港验</w:t>
                  </w:r>
                  <w:r>
                    <w:rPr>
                      <w:rFonts w:cs="Times New Roman"/>
                      <w:sz w:val="21"/>
                      <w:u w:val="single"/>
                    </w:rPr>
                    <w:t>[2010]02</w:t>
                  </w:r>
                  <w:r>
                    <w:rPr>
                      <w:rFonts w:hint="eastAsia" w:cs="Times New Roman"/>
                      <w:sz w:val="21"/>
                      <w:u w:val="single"/>
                    </w:rPr>
                    <w:t>号，</w:t>
                  </w:r>
                  <w:r>
                    <w:rPr>
                      <w:rFonts w:cs="Times New Roman"/>
                      <w:sz w:val="21"/>
                      <w:u w:val="single"/>
                    </w:rPr>
                    <w:t>2010</w:t>
                  </w:r>
                  <w:r>
                    <w:rPr>
                      <w:rFonts w:hint="eastAsia" w:cs="Times New Roman"/>
                      <w:sz w:val="21"/>
                      <w:u w:val="single"/>
                    </w:rPr>
                    <w:t>年</w:t>
                  </w:r>
                  <w:r>
                    <w:rPr>
                      <w:rFonts w:cs="Times New Roman"/>
                      <w:sz w:val="21"/>
                      <w:u w:val="single"/>
                    </w:rPr>
                    <w:t>2</w:t>
                  </w:r>
                  <w:r>
                    <w:rPr>
                      <w:rFonts w:hint="eastAsia" w:cs="Times New Roman"/>
                      <w:sz w:val="21"/>
                      <w:u w:val="single"/>
                    </w:rPr>
                    <w:t>月</w:t>
                  </w:r>
                  <w:r>
                    <w:rPr>
                      <w:rFonts w:cs="Times New Roman"/>
                      <w:sz w:val="21"/>
                      <w:u w:val="single"/>
                    </w:rPr>
                    <w:t>8</w:t>
                  </w:r>
                  <w:r>
                    <w:rPr>
                      <w:rFonts w:hint="eastAsia" w:cs="Times New Roman"/>
                      <w:sz w:val="21"/>
                      <w:u w:val="single"/>
                    </w:rPr>
                    <w:t>日</w:t>
                  </w:r>
                </w:p>
              </w:tc>
              <w:tc>
                <w:tcPr>
                  <w:tcW w:w="1768" w:type="dxa"/>
                  <w:vAlign w:val="center"/>
                </w:tcPr>
                <w:p>
                  <w:pPr>
                    <w:jc w:val="center"/>
                    <w:rPr>
                      <w:rFonts w:cs="Times New Roman"/>
                      <w:sz w:val="21"/>
                      <w:u w:val="single"/>
                    </w:rPr>
                  </w:pPr>
                  <w:r>
                    <w:rPr>
                      <w:rFonts w:hint="eastAsia" w:cs="Times New Roman"/>
                      <w:sz w:val="21"/>
                      <w:u w:val="single"/>
                    </w:rPr>
                    <w:t>岳城港环验</w:t>
                  </w:r>
                  <w:r>
                    <w:rPr>
                      <w:rFonts w:cs="Times New Roman"/>
                      <w:sz w:val="21"/>
                      <w:u w:val="single"/>
                    </w:rPr>
                    <w:t>[2014]17</w:t>
                  </w:r>
                  <w:r>
                    <w:rPr>
                      <w:rFonts w:hint="eastAsia" w:cs="Times New Roman"/>
                      <w:sz w:val="21"/>
                      <w:u w:val="single"/>
                    </w:rPr>
                    <w:t>号，</w:t>
                  </w:r>
                  <w:r>
                    <w:rPr>
                      <w:rFonts w:cs="Times New Roman"/>
                      <w:sz w:val="21"/>
                      <w:u w:val="single"/>
                    </w:rPr>
                    <w:t>2014</w:t>
                  </w:r>
                  <w:r>
                    <w:rPr>
                      <w:rFonts w:hint="eastAsia" w:cs="Times New Roman"/>
                      <w:sz w:val="21"/>
                      <w:u w:val="single"/>
                    </w:rPr>
                    <w:t>年</w:t>
                  </w:r>
                  <w:r>
                    <w:rPr>
                      <w:rFonts w:cs="Times New Roman"/>
                      <w:sz w:val="21"/>
                      <w:u w:val="single"/>
                    </w:rPr>
                    <w:t>10</w:t>
                  </w:r>
                  <w:r>
                    <w:rPr>
                      <w:rFonts w:hint="eastAsia" w:cs="Times New Roman"/>
                      <w:sz w:val="21"/>
                      <w:u w:val="single"/>
                    </w:rPr>
                    <w:t>月</w:t>
                  </w:r>
                  <w:r>
                    <w:rPr>
                      <w:rFonts w:cs="Times New Roman"/>
                      <w:sz w:val="21"/>
                      <w:u w:val="single"/>
                    </w:rPr>
                    <w:t>20</w:t>
                  </w:r>
                </w:p>
              </w:tc>
              <w:tc>
                <w:tcPr>
                  <w:tcW w:w="1787" w:type="dxa"/>
                  <w:vAlign w:val="center"/>
                </w:tcPr>
                <w:p>
                  <w:pPr>
                    <w:jc w:val="center"/>
                    <w:rPr>
                      <w:rFonts w:cs="Times New Roman"/>
                      <w:sz w:val="21"/>
                      <w:u w:val="single"/>
                    </w:rPr>
                  </w:pPr>
                  <w:r>
                    <w:rPr>
                      <w:rFonts w:hint="eastAsia"/>
                      <w:sz w:val="21"/>
                      <w:u w:val="single"/>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初始排污权/排污许可证编号</w:t>
                  </w:r>
                </w:p>
              </w:tc>
              <w:tc>
                <w:tcPr>
                  <w:tcW w:w="1819" w:type="dxa"/>
                  <w:gridSpan w:val="2"/>
                  <w:vAlign w:val="center"/>
                </w:tcPr>
                <w:p>
                  <w:pPr>
                    <w:widowControl/>
                    <w:jc w:val="center"/>
                    <w:rPr>
                      <w:rFonts w:cs="Times New Roman"/>
                      <w:sz w:val="21"/>
                      <w:u w:val="single"/>
                    </w:rPr>
                  </w:pPr>
                  <w:r>
                    <w:rPr>
                      <w:rFonts w:eastAsia="宋体" w:cs="Times New Roman"/>
                      <w:color w:val="000000"/>
                      <w:kern w:val="0"/>
                      <w:sz w:val="21"/>
                      <w:u w:val="single"/>
                      <w:lang w:bidi="ar"/>
                    </w:rPr>
                    <w:t>91430600691847293T001W</w:t>
                  </w:r>
                </w:p>
              </w:tc>
              <w:tc>
                <w:tcPr>
                  <w:tcW w:w="1749" w:type="dxa"/>
                  <w:vAlign w:val="center"/>
                </w:tcPr>
                <w:p>
                  <w:pPr>
                    <w:widowControl/>
                    <w:jc w:val="center"/>
                    <w:rPr>
                      <w:rFonts w:cs="Times New Roman"/>
                      <w:sz w:val="21"/>
                      <w:u w:val="single"/>
                    </w:rPr>
                  </w:pPr>
                  <w:r>
                    <w:rPr>
                      <w:rFonts w:eastAsia="宋体" w:cs="Times New Roman"/>
                      <w:color w:val="000000"/>
                      <w:kern w:val="0"/>
                      <w:sz w:val="21"/>
                      <w:u w:val="single"/>
                      <w:lang w:bidi="ar"/>
                    </w:rPr>
                    <w:t>91430600768021757G001P</w:t>
                  </w:r>
                </w:p>
              </w:tc>
              <w:tc>
                <w:tcPr>
                  <w:tcW w:w="1768" w:type="dxa"/>
                  <w:vAlign w:val="center"/>
                </w:tcPr>
                <w:p>
                  <w:pPr>
                    <w:widowControl/>
                    <w:jc w:val="center"/>
                    <w:rPr>
                      <w:rFonts w:cs="Times New Roman"/>
                      <w:sz w:val="21"/>
                      <w:u w:val="single"/>
                    </w:rPr>
                  </w:pPr>
                  <w:r>
                    <w:rPr>
                      <w:rFonts w:eastAsia="宋体" w:cs="Times New Roman"/>
                      <w:color w:val="000000"/>
                      <w:kern w:val="0"/>
                      <w:sz w:val="21"/>
                      <w:u w:val="single"/>
                      <w:lang w:bidi="ar"/>
                    </w:rPr>
                    <w:t>91430600066389231K001X</w:t>
                  </w:r>
                </w:p>
              </w:tc>
              <w:tc>
                <w:tcPr>
                  <w:tcW w:w="1787" w:type="dxa"/>
                  <w:vAlign w:val="center"/>
                </w:tcPr>
                <w:p>
                  <w:pPr>
                    <w:widowControl/>
                    <w:jc w:val="center"/>
                    <w:rPr>
                      <w:rFonts w:cs="Times New Roman"/>
                      <w:sz w:val="21"/>
                      <w:u w:val="single"/>
                    </w:rPr>
                  </w:pPr>
                  <w:r>
                    <w:rPr>
                      <w:rFonts w:eastAsia="宋体" w:cs="Times New Roman"/>
                      <w:color w:val="000000"/>
                      <w:kern w:val="0"/>
                      <w:sz w:val="21"/>
                      <w:u w:val="single"/>
                      <w:lang w:bidi="ar"/>
                    </w:rPr>
                    <w:t>91430600691847293T001W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是否满足达标排放要求</w:t>
                  </w:r>
                </w:p>
              </w:tc>
              <w:tc>
                <w:tcPr>
                  <w:tcW w:w="1819" w:type="dxa"/>
                  <w:gridSpan w:val="2"/>
                  <w:vAlign w:val="center"/>
                </w:tcPr>
                <w:p>
                  <w:pPr>
                    <w:jc w:val="center"/>
                    <w:rPr>
                      <w:rFonts w:cs="Times New Roman"/>
                      <w:sz w:val="21"/>
                      <w:u w:val="single"/>
                    </w:rPr>
                  </w:pPr>
                  <w:r>
                    <w:rPr>
                      <w:rFonts w:hint="eastAsia" w:cs="Times New Roman"/>
                      <w:sz w:val="21"/>
                      <w:u w:val="single"/>
                    </w:rPr>
                    <w:t>是</w:t>
                  </w:r>
                </w:p>
              </w:tc>
              <w:tc>
                <w:tcPr>
                  <w:tcW w:w="1749" w:type="dxa"/>
                  <w:vAlign w:val="center"/>
                </w:tcPr>
                <w:p>
                  <w:pPr>
                    <w:jc w:val="center"/>
                    <w:rPr>
                      <w:rFonts w:cs="Times New Roman"/>
                      <w:sz w:val="21"/>
                      <w:u w:val="single"/>
                    </w:rPr>
                  </w:pPr>
                  <w:r>
                    <w:rPr>
                      <w:rFonts w:hint="eastAsia" w:cs="Times New Roman"/>
                      <w:sz w:val="21"/>
                      <w:u w:val="single"/>
                    </w:rPr>
                    <w:t>是</w:t>
                  </w:r>
                </w:p>
              </w:tc>
              <w:tc>
                <w:tcPr>
                  <w:tcW w:w="1768" w:type="dxa"/>
                  <w:vAlign w:val="center"/>
                </w:tcPr>
                <w:p>
                  <w:pPr>
                    <w:jc w:val="center"/>
                    <w:rPr>
                      <w:rFonts w:cs="Times New Roman"/>
                      <w:sz w:val="21"/>
                      <w:u w:val="single"/>
                    </w:rPr>
                  </w:pPr>
                  <w:r>
                    <w:rPr>
                      <w:rFonts w:hint="eastAsia" w:cs="Times New Roman"/>
                      <w:sz w:val="21"/>
                      <w:u w:val="single"/>
                    </w:rPr>
                    <w:t>是</w:t>
                  </w:r>
                </w:p>
              </w:tc>
              <w:tc>
                <w:tcPr>
                  <w:tcW w:w="1787" w:type="dxa"/>
                  <w:vAlign w:val="center"/>
                </w:tcPr>
                <w:p>
                  <w:pPr>
                    <w:jc w:val="center"/>
                    <w:rPr>
                      <w:rFonts w:cs="Times New Roman"/>
                      <w:sz w:val="21"/>
                      <w:u w:val="single"/>
                    </w:rPr>
                  </w:pPr>
                  <w:r>
                    <w:rPr>
                      <w:rFonts w:hint="eastAsia" w:cs="Times New Roman"/>
                      <w:sz w:val="21"/>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dxa"/>
                  <w:vAlign w:val="center"/>
                </w:tcPr>
                <w:p>
                  <w:pPr>
                    <w:jc w:val="center"/>
                    <w:rPr>
                      <w:rFonts w:cs="Times New Roman"/>
                      <w:sz w:val="21"/>
                      <w:u w:val="single"/>
                    </w:rPr>
                  </w:pPr>
                  <w:r>
                    <w:rPr>
                      <w:rFonts w:hint="eastAsia" w:cs="Times New Roman"/>
                      <w:sz w:val="21"/>
                      <w:u w:val="single"/>
                    </w:rPr>
                    <w:t>是否满足总量控制要求</w:t>
                  </w:r>
                </w:p>
              </w:tc>
              <w:tc>
                <w:tcPr>
                  <w:tcW w:w="1819" w:type="dxa"/>
                  <w:gridSpan w:val="2"/>
                  <w:vAlign w:val="center"/>
                </w:tcPr>
                <w:p>
                  <w:pPr>
                    <w:jc w:val="center"/>
                    <w:rPr>
                      <w:rFonts w:cs="Times New Roman"/>
                      <w:sz w:val="21"/>
                      <w:u w:val="single"/>
                    </w:rPr>
                  </w:pPr>
                  <w:r>
                    <w:rPr>
                      <w:rFonts w:hint="eastAsia" w:cs="Times New Roman"/>
                      <w:sz w:val="21"/>
                      <w:u w:val="single"/>
                    </w:rPr>
                    <w:t>是</w:t>
                  </w:r>
                </w:p>
              </w:tc>
              <w:tc>
                <w:tcPr>
                  <w:tcW w:w="1749" w:type="dxa"/>
                  <w:vAlign w:val="center"/>
                </w:tcPr>
                <w:p>
                  <w:pPr>
                    <w:jc w:val="center"/>
                    <w:rPr>
                      <w:rFonts w:cs="Times New Roman"/>
                      <w:sz w:val="21"/>
                      <w:u w:val="single"/>
                    </w:rPr>
                  </w:pPr>
                  <w:r>
                    <w:rPr>
                      <w:rFonts w:hint="eastAsia" w:cs="Times New Roman"/>
                      <w:sz w:val="21"/>
                      <w:u w:val="single"/>
                    </w:rPr>
                    <w:t>是</w:t>
                  </w:r>
                </w:p>
              </w:tc>
              <w:tc>
                <w:tcPr>
                  <w:tcW w:w="1768" w:type="dxa"/>
                  <w:vAlign w:val="center"/>
                </w:tcPr>
                <w:p>
                  <w:pPr>
                    <w:jc w:val="center"/>
                    <w:rPr>
                      <w:rFonts w:cs="Times New Roman"/>
                      <w:sz w:val="21"/>
                      <w:u w:val="single"/>
                    </w:rPr>
                  </w:pPr>
                  <w:r>
                    <w:rPr>
                      <w:rFonts w:hint="eastAsia" w:cs="Times New Roman"/>
                      <w:sz w:val="21"/>
                      <w:u w:val="single"/>
                    </w:rPr>
                    <w:t>是</w:t>
                  </w:r>
                </w:p>
              </w:tc>
              <w:tc>
                <w:tcPr>
                  <w:tcW w:w="1787" w:type="dxa"/>
                  <w:vAlign w:val="center"/>
                </w:tcPr>
                <w:p>
                  <w:pPr>
                    <w:jc w:val="center"/>
                    <w:rPr>
                      <w:rFonts w:cs="Times New Roman"/>
                      <w:sz w:val="21"/>
                      <w:u w:val="single"/>
                    </w:rPr>
                  </w:pPr>
                  <w:r>
                    <w:rPr>
                      <w:rFonts w:hint="eastAsia" w:cs="Times New Roman"/>
                      <w:sz w:val="21"/>
                      <w:u w:val="single"/>
                    </w:rPr>
                    <w:t>是</w:t>
                  </w:r>
                </w:p>
              </w:tc>
            </w:tr>
          </w:tbl>
          <w:p>
            <w:pPr>
              <w:jc w:val="left"/>
              <w:rPr>
                <w:rFonts w:cs="Times New Roman"/>
              </w:rPr>
            </w:pPr>
          </w:p>
          <w:p>
            <w:pPr>
              <w:jc w:val="left"/>
              <w:rPr>
                <w:rFonts w:cs="Times New Roman"/>
              </w:rPr>
            </w:pPr>
          </w:p>
          <w:p>
            <w:pPr>
              <w:jc w:val="left"/>
              <w:rPr>
                <w:rFonts w:cs="Times New Roman"/>
              </w:rPr>
            </w:pPr>
          </w:p>
        </w:tc>
      </w:tr>
    </w:tbl>
    <w:p>
      <w:pPr>
        <w:pStyle w:val="4"/>
        <w:rPr>
          <w:rFonts w:cs="Times New Roman" w:eastAsiaTheme="minorEastAsia"/>
          <w:color w:val="000000" w:themeColor="text1"/>
        </w:rPr>
      </w:pPr>
      <w:bookmarkStart w:id="6" w:name="_Toc14411"/>
      <w:r>
        <w:rPr>
          <w:rFonts w:cs="Times New Roman" w:eastAsiaTheme="minorEastAsia"/>
          <w:color w:val="000000" w:themeColor="text1"/>
        </w:rPr>
        <w:t>项目环境质量状况</w:t>
      </w:r>
      <w:bookmarkEnd w:id="6"/>
    </w:p>
    <w:tbl>
      <w:tblPr>
        <w:tblStyle w:val="33"/>
        <w:tblW w:w="5009" w:type="pct"/>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0" w:hRule="atLeast"/>
        </w:trPr>
        <w:tc>
          <w:tcPr>
            <w:tcW w:w="5000" w:type="pct"/>
          </w:tcPr>
          <w:p>
            <w:pPr>
              <w:rPr>
                <w:rFonts w:cs="Times New Roman"/>
                <w:b/>
                <w:color w:val="000000" w:themeColor="text1"/>
              </w:rPr>
            </w:pPr>
            <w:r>
              <w:rPr>
                <w:rFonts w:cs="Times New Roman"/>
                <w:b/>
                <w:color w:val="000000" w:themeColor="text1"/>
              </w:rPr>
              <w:t>建设项目所在地区域环境质量现状及主要环境问题（环境空气、地面水、地下水、声环境、生态环境等）</w:t>
            </w:r>
          </w:p>
          <w:p>
            <w:pPr>
              <w:pStyle w:val="6"/>
              <w:rPr>
                <w:rFonts w:cs="Times New Roman"/>
                <w:color w:val="000000" w:themeColor="text1"/>
              </w:rPr>
            </w:pPr>
            <w:r>
              <w:rPr>
                <w:rFonts w:cs="Times New Roman"/>
                <w:color w:val="000000" w:themeColor="text1"/>
              </w:rPr>
              <w:t>区域环境功能区划</w:t>
            </w:r>
          </w:p>
          <w:p>
            <w:pPr>
              <w:spacing w:line="360" w:lineRule="auto"/>
              <w:ind w:firstLine="480" w:firstLineChars="200"/>
              <w:rPr>
                <w:rFonts w:cs="Times New Roman"/>
                <w:color w:val="000000" w:themeColor="text1"/>
              </w:rPr>
            </w:pPr>
            <w:r>
              <w:rPr>
                <w:rFonts w:cs="Times New Roman"/>
                <w:color w:val="000000" w:themeColor="text1"/>
              </w:rPr>
              <w:t>本项目区域环境功能区划见下表。</w:t>
            </w:r>
          </w:p>
          <w:p>
            <w:pPr>
              <w:pStyle w:val="15"/>
              <w:spacing w:line="240" w:lineRule="auto"/>
              <w:rPr>
                <w:rFonts w:cs="Times New Roman" w:eastAsiaTheme="minorEastAsia"/>
                <w:color w:val="000000" w:themeColor="text1"/>
                <w:sz w:val="21"/>
                <w:szCs w:val="21"/>
              </w:rPr>
            </w:pPr>
            <w:r>
              <w:rPr>
                <w:rFonts w:cs="Times New Roman" w:eastAsiaTheme="minorEastAsia"/>
                <w:color w:val="000000" w:themeColor="text1"/>
                <w:sz w:val="21"/>
                <w:szCs w:val="21"/>
              </w:rPr>
              <w:t>表</w:t>
            </w:r>
            <w:r>
              <w:rPr>
                <w:rFonts w:cs="Times New Roman" w:eastAsiaTheme="minorEastAsia"/>
                <w:color w:val="000000" w:themeColor="text1"/>
                <w:sz w:val="21"/>
                <w:szCs w:val="21"/>
              </w:rPr>
              <w:fldChar w:fldCharType="begin"/>
            </w:r>
            <w:r>
              <w:rPr>
                <w:rFonts w:cs="Times New Roman" w:eastAsiaTheme="minorEastAsia"/>
                <w:color w:val="000000" w:themeColor="text1"/>
                <w:sz w:val="21"/>
                <w:szCs w:val="21"/>
              </w:rPr>
              <w:instrText xml:space="preserve"> STYLEREF 2 \s </w:instrText>
            </w:r>
            <w:r>
              <w:rPr>
                <w:rFonts w:cs="Times New Roman" w:eastAsiaTheme="minorEastAsia"/>
                <w:color w:val="000000" w:themeColor="text1"/>
                <w:sz w:val="21"/>
                <w:szCs w:val="21"/>
              </w:rPr>
              <w:fldChar w:fldCharType="separate"/>
            </w:r>
            <w:r>
              <w:rPr>
                <w:rFonts w:cs="Times New Roman" w:eastAsiaTheme="minorEastAsia"/>
                <w:color w:val="000000" w:themeColor="text1"/>
                <w:sz w:val="21"/>
                <w:szCs w:val="21"/>
              </w:rPr>
              <w:t>3.1</w:t>
            </w:r>
            <w:r>
              <w:rPr>
                <w:rFonts w:cs="Times New Roman" w:eastAsiaTheme="minorEastAsia"/>
                <w:color w:val="000000" w:themeColor="text1"/>
                <w:sz w:val="21"/>
                <w:szCs w:val="21"/>
              </w:rPr>
              <w:fldChar w:fldCharType="end"/>
            </w:r>
            <w:r>
              <w:rPr>
                <w:rFonts w:cs="Times New Roman" w:eastAsiaTheme="minorEastAsia"/>
                <w:color w:val="000000" w:themeColor="text1"/>
                <w:sz w:val="21"/>
                <w:szCs w:val="21"/>
              </w:rPr>
              <w:noBreakHyphen/>
            </w:r>
            <w:r>
              <w:rPr>
                <w:rFonts w:cs="Times New Roman" w:eastAsiaTheme="minorEastAsia"/>
                <w:color w:val="000000" w:themeColor="text1"/>
                <w:sz w:val="21"/>
                <w:szCs w:val="21"/>
              </w:rPr>
              <w:fldChar w:fldCharType="begin"/>
            </w:r>
            <w:r>
              <w:rPr>
                <w:rFonts w:cs="Times New Roman" w:eastAsiaTheme="minorEastAsia"/>
                <w:color w:val="000000" w:themeColor="text1"/>
                <w:sz w:val="21"/>
                <w:szCs w:val="21"/>
              </w:rPr>
              <w:instrText xml:space="preserve"> SEQ 表 \* ARABIC \s 2 </w:instrText>
            </w:r>
            <w:r>
              <w:rPr>
                <w:rFonts w:cs="Times New Roman" w:eastAsiaTheme="minorEastAsia"/>
                <w:color w:val="000000" w:themeColor="text1"/>
                <w:sz w:val="21"/>
                <w:szCs w:val="21"/>
              </w:rPr>
              <w:fldChar w:fldCharType="separate"/>
            </w:r>
            <w:r>
              <w:rPr>
                <w:rFonts w:cs="Times New Roman" w:eastAsiaTheme="minorEastAsia"/>
                <w:color w:val="000000" w:themeColor="text1"/>
                <w:sz w:val="21"/>
                <w:szCs w:val="21"/>
              </w:rPr>
              <w:t>1</w:t>
            </w:r>
            <w:r>
              <w:rPr>
                <w:rFonts w:cs="Times New Roman" w:eastAsiaTheme="minorEastAsia"/>
                <w:color w:val="000000" w:themeColor="text1"/>
                <w:sz w:val="21"/>
                <w:szCs w:val="21"/>
              </w:rPr>
              <w:fldChar w:fldCharType="end"/>
            </w:r>
            <w:r>
              <w:rPr>
                <w:rFonts w:cs="Times New Roman" w:eastAsiaTheme="minorEastAsia"/>
                <w:color w:val="000000" w:themeColor="text1"/>
                <w:sz w:val="21"/>
                <w:szCs w:val="21"/>
              </w:rPr>
              <w:t xml:space="preserve"> 项目拟选址环境功能区属性</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761"/>
              <w:gridCol w:w="1368"/>
              <w:gridCol w:w="1300"/>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jc w:val="both"/>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编号</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项目</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功能属性及执行标准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restar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1</w:t>
                  </w:r>
                </w:p>
              </w:tc>
              <w:tc>
                <w:tcPr>
                  <w:tcW w:w="1659" w:type="pct"/>
                  <w:vMerge w:val="restar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地表水环境功能区</w:t>
                  </w:r>
                </w:p>
              </w:tc>
              <w:tc>
                <w:tcPr>
                  <w:tcW w:w="822" w:type="pct"/>
                  <w:vAlign w:val="center"/>
                </w:tcPr>
                <w:p>
                  <w:pPr>
                    <w:pStyle w:val="78"/>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长江</w:t>
                  </w:r>
                </w:p>
              </w:tc>
              <w:tc>
                <w:tcPr>
                  <w:tcW w:w="781" w:type="pct"/>
                  <w:vAlign w:val="center"/>
                </w:tcPr>
                <w:p>
                  <w:pPr>
                    <w:pStyle w:val="78"/>
                    <w:rPr>
                      <w:rFonts w:hint="default" w:ascii="Times New Roman" w:hAnsi="Times New Roman" w:cs="Times New Roman" w:eastAsiaTheme="minorEastAsia"/>
                      <w:b w:val="0"/>
                      <w:bCs w:val="0"/>
                      <w:color w:val="000000" w:themeColor="text1"/>
                      <w:szCs w:val="21"/>
                    </w:rPr>
                  </w:pPr>
                  <w:r>
                    <w:rPr>
                      <w:rFonts w:hint="default" w:ascii="Times New Roman" w:hAnsi="Times New Roman" w:cs="Times New Roman" w:eastAsiaTheme="minorEastAsia"/>
                      <w:b w:val="0"/>
                      <w:bCs w:val="0"/>
                      <w:color w:val="000000" w:themeColor="text1"/>
                      <w:szCs w:val="21"/>
                    </w:rPr>
                    <w:t>III</w:t>
                  </w:r>
                </w:p>
              </w:tc>
              <w:tc>
                <w:tcPr>
                  <w:tcW w:w="1332" w:type="pct"/>
                  <w:vMerge w:val="restart"/>
                  <w:vAlign w:val="center"/>
                </w:tcPr>
                <w:p>
                  <w:pPr>
                    <w:pStyle w:val="111"/>
                    <w:snapToGrid w:val="0"/>
                    <w:spacing w:line="240" w:lineRule="auto"/>
                    <w:rPr>
                      <w:rFonts w:eastAsiaTheme="minorEastAsia"/>
                      <w:color w:val="000000" w:themeColor="text1"/>
                      <w:kern w:val="2"/>
                      <w:sz w:val="21"/>
                      <w:szCs w:val="21"/>
                    </w:rPr>
                  </w:pPr>
                  <w:r>
                    <w:rPr>
                      <w:rFonts w:eastAsiaTheme="minorEastAsia"/>
                      <w:color w:val="000000" w:themeColor="text1"/>
                      <w:kern w:val="2"/>
                      <w:sz w:val="21"/>
                      <w:szCs w:val="21"/>
                    </w:rP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p>
              </w:tc>
              <w:tc>
                <w:tcPr>
                  <w:tcW w:w="1659" w:type="pct"/>
                  <w:vMerge w:val="continue"/>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p>
              </w:tc>
              <w:tc>
                <w:tcPr>
                  <w:tcW w:w="822" w:type="pct"/>
                  <w:vAlign w:val="center"/>
                </w:tcPr>
                <w:p>
                  <w:pPr>
                    <w:pStyle w:val="78"/>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松阳湖</w:t>
                  </w:r>
                </w:p>
              </w:tc>
              <w:tc>
                <w:tcPr>
                  <w:tcW w:w="781" w:type="pct"/>
                  <w:vAlign w:val="center"/>
                </w:tcPr>
                <w:p>
                  <w:pPr>
                    <w:pStyle w:val="78"/>
                    <w:rPr>
                      <w:rFonts w:hint="default" w:ascii="Times New Roman" w:hAnsi="Times New Roman" w:cs="Times New Roman" w:eastAsiaTheme="minorEastAsia"/>
                      <w:b w:val="0"/>
                      <w:bCs w:val="0"/>
                      <w:color w:val="000000" w:themeColor="text1"/>
                      <w:szCs w:val="21"/>
                    </w:rPr>
                  </w:pPr>
                  <w:r>
                    <w:rPr>
                      <w:rFonts w:hint="default" w:ascii="Times New Roman" w:hAnsi="Times New Roman" w:cs="Times New Roman" w:eastAsiaTheme="minorEastAsia"/>
                      <w:b w:val="0"/>
                      <w:bCs w:val="0"/>
                      <w:color w:val="000000" w:themeColor="text1"/>
                      <w:szCs w:val="21"/>
                    </w:rPr>
                    <w:t>Ⅳ</w:t>
                  </w:r>
                </w:p>
              </w:tc>
              <w:tc>
                <w:tcPr>
                  <w:tcW w:w="1332" w:type="pct"/>
                  <w:vMerge w:val="continue"/>
                  <w:vAlign w:val="center"/>
                </w:tcPr>
                <w:p>
                  <w:pPr>
                    <w:pStyle w:val="111"/>
                    <w:snapToGrid w:val="0"/>
                    <w:spacing w:line="240" w:lineRule="auto"/>
                    <w:rPr>
                      <w:rFonts w:eastAsiaTheme="minorEastAsia"/>
                      <w:color w:val="000000" w:themeColor="text1"/>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2</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环境空气质量功能区</w:t>
                  </w:r>
                </w:p>
              </w:tc>
              <w:tc>
                <w:tcPr>
                  <w:tcW w:w="2936" w:type="pct"/>
                  <w:gridSpan w:val="3"/>
                  <w:vAlign w:val="center"/>
                </w:tcPr>
                <w:p>
                  <w:pPr>
                    <w:pStyle w:val="142"/>
                    <w:adjustRightInd w:val="0"/>
                    <w:snapToGrid w:val="0"/>
                    <w:rPr>
                      <w:rFonts w:eastAsiaTheme="minorEastAsia"/>
                      <w:color w:val="000000" w:themeColor="text1"/>
                    </w:rPr>
                  </w:pPr>
                  <w:r>
                    <w:rPr>
                      <w:rFonts w:eastAsiaTheme="minorEastAsia"/>
                      <w:color w:val="000000" w:themeColor="text1"/>
                    </w:rPr>
                    <w:t>二类，环境空气质量执行《环境空气质量标准》（GB3095-2012）中的二级标准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3</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声环境功能区</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hint="eastAsia" w:ascii="Times New Roman" w:hAnsi="宋体" w:cs="Times New Roman"/>
                      <w:color w:val="000000"/>
                      <w:kern w:val="2"/>
                      <w:sz w:val="21"/>
                      <w:szCs w:val="21"/>
                    </w:rPr>
                    <w:t>西面、南面和东面属于</w:t>
                  </w:r>
                  <w:r>
                    <w:rPr>
                      <w:rFonts w:ascii="Times New Roman" w:hAnsi="Times New Roman" w:cs="Times New Roman"/>
                      <w:color w:val="000000"/>
                      <w:kern w:val="2"/>
                      <w:sz w:val="21"/>
                      <w:szCs w:val="21"/>
                    </w:rPr>
                    <w:t>3</w:t>
                  </w:r>
                  <w:r>
                    <w:rPr>
                      <w:rFonts w:hint="eastAsia" w:ascii="Times New Roman" w:hAnsi="宋体" w:cs="Times New Roman"/>
                      <w:color w:val="000000"/>
                      <w:kern w:val="2"/>
                      <w:sz w:val="21"/>
                      <w:szCs w:val="21"/>
                    </w:rPr>
                    <w:t>类，执行《声环境质量标准》（</w:t>
                  </w:r>
                  <w:r>
                    <w:rPr>
                      <w:rFonts w:ascii="Times New Roman" w:hAnsi="Times New Roman" w:cs="Times New Roman"/>
                      <w:color w:val="000000"/>
                      <w:kern w:val="2"/>
                      <w:sz w:val="21"/>
                      <w:szCs w:val="21"/>
                    </w:rPr>
                    <w:t>GB3096-2008</w:t>
                  </w:r>
                  <w:r>
                    <w:rPr>
                      <w:rFonts w:hint="eastAsia" w:ascii="Times New Roman" w:hAnsi="宋体" w:cs="Times New Roman"/>
                      <w:color w:val="000000"/>
                      <w:kern w:val="2"/>
                      <w:sz w:val="21"/>
                      <w:szCs w:val="21"/>
                    </w:rPr>
                    <w:t>）的</w:t>
                  </w:r>
                  <w:r>
                    <w:rPr>
                      <w:rFonts w:ascii="Times New Roman" w:hAnsi="Times New Roman" w:cs="Times New Roman"/>
                      <w:color w:val="000000"/>
                      <w:kern w:val="2"/>
                      <w:sz w:val="21"/>
                      <w:szCs w:val="21"/>
                    </w:rPr>
                    <w:t>3</w:t>
                  </w:r>
                  <w:r>
                    <w:rPr>
                      <w:rFonts w:hint="eastAsia" w:ascii="Times New Roman" w:hAnsi="宋体" w:cs="Times New Roman"/>
                      <w:color w:val="000000"/>
                      <w:kern w:val="2"/>
                      <w:sz w:val="21"/>
                      <w:szCs w:val="21"/>
                    </w:rPr>
                    <w:t>类标准，北面执行执行《声环境质量标准》（</w:t>
                  </w:r>
                  <w:r>
                    <w:rPr>
                      <w:rFonts w:ascii="Times New Roman" w:hAnsi="Times New Roman" w:cs="Times New Roman"/>
                      <w:color w:val="000000"/>
                      <w:kern w:val="2"/>
                      <w:sz w:val="21"/>
                      <w:szCs w:val="21"/>
                    </w:rPr>
                    <w:t>GB3096-2008</w:t>
                  </w:r>
                  <w:r>
                    <w:rPr>
                      <w:rFonts w:hint="eastAsia" w:ascii="Times New Roman" w:hAnsi="宋体" w:cs="Times New Roman"/>
                      <w:color w:val="000000"/>
                      <w:kern w:val="2"/>
                      <w:sz w:val="21"/>
                      <w:szCs w:val="21"/>
                    </w:rPr>
                    <w:t>）的</w:t>
                  </w:r>
                  <w:r>
                    <w:rPr>
                      <w:rFonts w:ascii="Times New Roman" w:hAnsi="Times New Roman" w:cs="Times New Roman"/>
                      <w:color w:val="000000"/>
                      <w:kern w:val="2"/>
                      <w:sz w:val="21"/>
                      <w:szCs w:val="21"/>
                    </w:rPr>
                    <w:t>4a</w:t>
                  </w:r>
                  <w:r>
                    <w:rPr>
                      <w:rFonts w:hint="eastAsia" w:ascii="Times New Roman" w:hAnsi="宋体" w:cs="Times New Roman"/>
                      <w:color w:val="000000"/>
                      <w:kern w:val="2"/>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4</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土壤环境功能区</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sz w:val="21"/>
                      <w:szCs w:val="21"/>
                    </w:rPr>
                    <w:t>《土壤环境质量建设用地土壤污染风险管控标准》（GB36600-2018）中筛选值第二类用地标准值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5</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是否基本农田保护区</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6</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是否森林、公园</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7</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是否生态功能保护区</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8</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是否水土流失重点防治区</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9</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是否人口密集区</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10</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是否重点文物保护单位</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11</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是否三河、三湖、两控区</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是（两控区）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12</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是否水库库区</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13</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是否污水处理厂集水范围</w:t>
                  </w:r>
                </w:p>
              </w:tc>
              <w:tc>
                <w:tcPr>
                  <w:tcW w:w="2936" w:type="pct"/>
                  <w:gridSpan w:val="3"/>
                  <w:vAlign w:val="center"/>
                </w:tcPr>
                <w:p>
                  <w:pPr>
                    <w:pStyle w:val="142"/>
                    <w:adjustRightInd w:val="0"/>
                    <w:snapToGrid w:val="0"/>
                    <w:jc w:val="center"/>
                    <w:rPr>
                      <w:rFonts w:eastAsiaTheme="minorEastAsia"/>
                      <w:color w:val="000000" w:themeColor="text1"/>
                    </w:rPr>
                  </w:pPr>
                  <w:r>
                    <w:rPr>
                      <w:rFonts w:eastAsiaTheme="minorEastAsia"/>
                      <w:color w:val="000000" w:themeColor="text1"/>
                    </w:rPr>
                    <w:t>是（湖南城陵矶临港产业新区污水处理厂）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14</w:t>
                  </w:r>
                </w:p>
              </w:tc>
              <w:tc>
                <w:tcPr>
                  <w:tcW w:w="1659" w:type="pct"/>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是否属于生态敏感与脆弱区</w:t>
                  </w:r>
                </w:p>
              </w:tc>
              <w:tc>
                <w:tcPr>
                  <w:tcW w:w="2936" w:type="pct"/>
                  <w:gridSpan w:val="3"/>
                  <w:vAlign w:val="center"/>
                </w:tcPr>
                <w:p>
                  <w:pPr>
                    <w:pStyle w:val="110"/>
                    <w:widowControl/>
                    <w:autoSpaceDE/>
                    <w:snapToGrid w:val="0"/>
                    <w:spacing w:line="240" w:lineRule="auto"/>
                    <w:rPr>
                      <w:rFonts w:ascii="Times New Roman" w:hAnsi="Times New Roman" w:cs="Times New Roman" w:eastAsiaTheme="minorEastAsia"/>
                      <w:color w:val="000000" w:themeColor="text1"/>
                      <w:kern w:val="2"/>
                      <w:sz w:val="21"/>
                      <w:szCs w:val="21"/>
                    </w:rPr>
                  </w:pPr>
                  <w:r>
                    <w:rPr>
                      <w:rFonts w:ascii="Times New Roman" w:hAnsi="Times New Roman" w:cs="Times New Roman" w:eastAsiaTheme="minorEastAsia"/>
                      <w:color w:val="000000" w:themeColor="text1"/>
                      <w:kern w:val="2"/>
                      <w:sz w:val="21"/>
                      <w:szCs w:val="21"/>
                    </w:rPr>
                    <w:t>否</w:t>
                  </w:r>
                </w:p>
              </w:tc>
            </w:tr>
          </w:tbl>
          <w:p>
            <w:pPr>
              <w:pStyle w:val="6"/>
              <w:rPr>
                <w:rFonts w:cs="Times New Roman"/>
                <w:b/>
                <w:bCs/>
                <w:color w:val="000000" w:themeColor="text1"/>
              </w:rPr>
            </w:pPr>
            <w:r>
              <w:rPr>
                <w:rFonts w:cs="Times New Roman"/>
                <w:b/>
                <w:bCs/>
                <w:color w:val="000000" w:themeColor="text1"/>
              </w:rPr>
              <w:t>环境质量状况</w:t>
            </w:r>
          </w:p>
          <w:p>
            <w:pPr>
              <w:pStyle w:val="7"/>
              <w:rPr>
                <w:rFonts w:cs="Times New Roman" w:eastAsiaTheme="minorEastAsia"/>
                <w:color w:val="000000" w:themeColor="text1"/>
              </w:rPr>
            </w:pPr>
            <w:r>
              <w:rPr>
                <w:rFonts w:cs="Times New Roman" w:eastAsiaTheme="minorEastAsia"/>
                <w:color w:val="000000" w:themeColor="text1"/>
              </w:rPr>
              <w:t>环境空气质量现状</w:t>
            </w:r>
          </w:p>
          <w:p>
            <w:pPr>
              <w:pStyle w:val="31"/>
              <w:keepLines/>
              <w:adjustRightInd w:val="0"/>
              <w:snapToGrid w:val="0"/>
              <w:spacing w:after="0" w:line="360" w:lineRule="auto"/>
              <w:ind w:firstLine="480" w:firstLineChars="200"/>
              <w:rPr>
                <w:rFonts w:cs="Times New Roman"/>
              </w:rPr>
            </w:pPr>
            <w:r>
              <w:rPr>
                <w:rFonts w:cs="Times New Roman"/>
              </w:rPr>
              <w:t>1、空气质量达标区判定</w:t>
            </w:r>
          </w:p>
          <w:p>
            <w:pPr>
              <w:pStyle w:val="142"/>
              <w:adjustRightInd w:val="0"/>
              <w:snapToGrid w:val="0"/>
              <w:spacing w:line="360" w:lineRule="auto"/>
              <w:ind w:firstLine="480" w:firstLineChars="200"/>
              <w:rPr>
                <w:rFonts w:eastAsiaTheme="minorEastAsia"/>
                <w:sz w:val="24"/>
                <w:szCs w:val="24"/>
              </w:rPr>
            </w:pPr>
            <w:r>
              <w:rPr>
                <w:rFonts w:hint="eastAsia" w:hAnsi="宋体"/>
                <w:sz w:val="24"/>
              </w:rPr>
              <w:t>根据《环境影响评价技术导则</w:t>
            </w:r>
            <w:r>
              <w:rPr>
                <w:sz w:val="24"/>
              </w:rPr>
              <w:t xml:space="preserve"> </w:t>
            </w:r>
            <w:r>
              <w:rPr>
                <w:rFonts w:hint="eastAsia" w:hAnsi="宋体"/>
                <w:sz w:val="24"/>
              </w:rPr>
              <w:t>大气环境》</w:t>
            </w:r>
            <w:r>
              <w:rPr>
                <w:sz w:val="24"/>
              </w:rPr>
              <w:t>(HJ2.2-2018)</w:t>
            </w:r>
            <w:r>
              <w:rPr>
                <w:rFonts w:hint="eastAsia" w:hAnsi="宋体"/>
                <w:sz w:val="24"/>
              </w:rPr>
              <w:t>第</w:t>
            </w:r>
            <w:r>
              <w:rPr>
                <w:sz w:val="24"/>
              </w:rPr>
              <w:t>6.4.1.1</w:t>
            </w:r>
            <w:r>
              <w:rPr>
                <w:rFonts w:hint="eastAsia" w:hAnsi="宋体"/>
                <w:sz w:val="24"/>
              </w:rPr>
              <w:t>条</w:t>
            </w:r>
            <w:r>
              <w:rPr>
                <w:sz w:val="24"/>
              </w:rPr>
              <w:t>“</w:t>
            </w:r>
            <w:r>
              <w:rPr>
                <w:rFonts w:hint="eastAsia" w:hAnsi="宋体"/>
                <w:sz w:val="24"/>
              </w:rPr>
              <w:t>城市环境空气质量达标情况评价指标为</w:t>
            </w:r>
            <w:r>
              <w:rPr>
                <w:sz w:val="24"/>
              </w:rPr>
              <w:t>SO</w:t>
            </w:r>
            <w:r>
              <w:rPr>
                <w:sz w:val="24"/>
                <w:vertAlign w:val="subscript"/>
              </w:rPr>
              <w:t>2</w:t>
            </w:r>
            <w:r>
              <w:rPr>
                <w:rFonts w:hint="eastAsia" w:hAnsi="宋体"/>
                <w:sz w:val="24"/>
              </w:rPr>
              <w:t>、</w:t>
            </w:r>
            <w:r>
              <w:rPr>
                <w:sz w:val="24"/>
              </w:rPr>
              <w:t>NO</w:t>
            </w:r>
            <w:r>
              <w:rPr>
                <w:sz w:val="24"/>
                <w:vertAlign w:val="subscript"/>
              </w:rPr>
              <w:t>2</w:t>
            </w:r>
            <w:r>
              <w:rPr>
                <w:rFonts w:hint="eastAsia" w:hAnsi="宋体"/>
                <w:sz w:val="24"/>
              </w:rPr>
              <w:t>、</w:t>
            </w:r>
            <w:r>
              <w:rPr>
                <w:sz w:val="24"/>
              </w:rPr>
              <w:t>PM</w:t>
            </w:r>
            <w:r>
              <w:rPr>
                <w:sz w:val="24"/>
                <w:vertAlign w:val="subscript"/>
              </w:rPr>
              <w:t>10</w:t>
            </w:r>
            <w:r>
              <w:rPr>
                <w:rFonts w:hint="eastAsia" w:hAnsi="宋体"/>
                <w:sz w:val="24"/>
              </w:rPr>
              <w:t>、</w:t>
            </w:r>
            <w:r>
              <w:rPr>
                <w:sz w:val="24"/>
              </w:rPr>
              <w:t>PM</w:t>
            </w:r>
            <w:r>
              <w:rPr>
                <w:sz w:val="24"/>
                <w:vertAlign w:val="subscript"/>
              </w:rPr>
              <w:t>2.5</w:t>
            </w:r>
            <w:r>
              <w:rPr>
                <w:rFonts w:hint="eastAsia" w:hAnsi="宋体"/>
                <w:sz w:val="24"/>
              </w:rPr>
              <w:t>、</w:t>
            </w:r>
            <w:r>
              <w:rPr>
                <w:sz w:val="24"/>
              </w:rPr>
              <w:t>CO</w:t>
            </w:r>
            <w:r>
              <w:rPr>
                <w:rFonts w:hint="eastAsia" w:hAnsi="宋体"/>
                <w:sz w:val="24"/>
              </w:rPr>
              <w:t>和</w:t>
            </w:r>
            <w:r>
              <w:rPr>
                <w:sz w:val="24"/>
              </w:rPr>
              <w:t>O</w:t>
            </w:r>
            <w:r>
              <w:rPr>
                <w:sz w:val="24"/>
                <w:vertAlign w:val="subscript"/>
              </w:rPr>
              <w:t>3</w:t>
            </w:r>
            <w:r>
              <w:rPr>
                <w:rFonts w:hint="eastAsia" w:hAnsi="宋体"/>
                <w:sz w:val="24"/>
              </w:rPr>
              <w:t>，六项污染物全部达标即为</w:t>
            </w:r>
            <w:r>
              <w:rPr>
                <w:sz w:val="24"/>
              </w:rPr>
              <w:t>“</w:t>
            </w:r>
            <w:r>
              <w:rPr>
                <w:rFonts w:hint="eastAsia" w:hAnsi="宋体"/>
                <w:sz w:val="24"/>
              </w:rPr>
              <w:t>城市环境空气质量达标</w:t>
            </w:r>
            <w:r>
              <w:rPr>
                <w:sz w:val="24"/>
              </w:rPr>
              <w:t>”</w:t>
            </w:r>
            <w:r>
              <w:rPr>
                <w:rFonts w:hint="eastAsia" w:hAnsi="宋体"/>
                <w:sz w:val="24"/>
              </w:rPr>
              <w:t>。</w:t>
            </w:r>
          </w:p>
          <w:p>
            <w:pPr>
              <w:pStyle w:val="142"/>
              <w:adjustRightInd w:val="0"/>
              <w:snapToGrid w:val="0"/>
              <w:spacing w:line="360" w:lineRule="auto"/>
              <w:ind w:firstLine="480" w:firstLineChars="200"/>
              <w:rPr>
                <w:rFonts w:eastAsiaTheme="minorEastAsia"/>
                <w:sz w:val="24"/>
                <w:szCs w:val="24"/>
              </w:rPr>
            </w:pPr>
            <w:r>
              <w:rPr>
                <w:rFonts w:eastAsiaTheme="minorEastAsia"/>
                <w:sz w:val="24"/>
                <w:szCs w:val="24"/>
              </w:rPr>
              <w:t>本项目大气环境评价范围为以厂址为中心，边长为5×5km的矩形区域，在该评价范围内有国家环境空气质量监测网城陵矶站，因此，本评价基本污染物环境质量数据来源于国家环境空气质量监测网城陵矶站，评级基准年为2019年，具体情况如下：</w:t>
            </w:r>
          </w:p>
          <w:p>
            <w:pPr>
              <w:keepNext/>
              <w:jc w:val="center"/>
              <w:rPr>
                <w:rFonts w:cs="Times New Roman"/>
                <w:b/>
                <w:sz w:val="21"/>
              </w:rPr>
            </w:pPr>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3.2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1</w:t>
            </w:r>
            <w:r>
              <w:rPr>
                <w:rFonts w:cs="Times New Roman"/>
                <w:b/>
                <w:sz w:val="21"/>
              </w:rPr>
              <w:fldChar w:fldCharType="end"/>
            </w:r>
            <w:r>
              <w:rPr>
                <w:rFonts w:cs="Times New Roman"/>
                <w:b/>
                <w:sz w:val="21"/>
              </w:rPr>
              <w:t xml:space="preserve">  评价区环境空气质量现状监测统计结果  单位：mg/m</w:t>
            </w:r>
            <w:r>
              <w:rPr>
                <w:rFonts w:cs="Times New Roman"/>
                <w:b/>
                <w:sz w:val="21"/>
                <w:vertAlign w:val="superscript"/>
              </w:rPr>
              <w:t>3</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1109"/>
              <w:gridCol w:w="1206"/>
              <w:gridCol w:w="699"/>
              <w:gridCol w:w="768"/>
              <w:gridCol w:w="1144"/>
              <w:gridCol w:w="1144"/>
              <w:gridCol w:w="743"/>
              <w:gridCol w:w="545"/>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2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bCs/>
                      <w:color w:val="000000"/>
                      <w:sz w:val="21"/>
                    </w:rPr>
                  </w:pPr>
                  <w:r>
                    <w:rPr>
                      <w:rFonts w:cs="Times New Roman"/>
                      <w:bCs/>
                      <w:color w:val="000000"/>
                      <w:sz w:val="21"/>
                    </w:rPr>
                    <w:t>点位名称</w:t>
                  </w:r>
                </w:p>
              </w:tc>
              <w:tc>
                <w:tcPr>
                  <w:tcW w:w="1449" w:type="dxa"/>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sz w:val="21"/>
                    </w:rPr>
                  </w:pPr>
                  <w:r>
                    <w:rPr>
                      <w:rFonts w:cs="Times New Roman"/>
                      <w:bCs/>
                      <w:color w:val="000000"/>
                      <w:sz w:val="21"/>
                    </w:rPr>
                    <w:t>监测点坐标</w:t>
                  </w:r>
                </w:p>
              </w:tc>
              <w:tc>
                <w:tcPr>
                  <w:tcW w:w="724"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sz w:val="21"/>
                    </w:rPr>
                  </w:pPr>
                  <w:r>
                    <w:rPr>
                      <w:rFonts w:cs="Times New Roman"/>
                      <w:bCs/>
                      <w:color w:val="000000"/>
                      <w:sz w:val="21"/>
                    </w:rPr>
                    <w:t>污染物</w:t>
                  </w:r>
                </w:p>
              </w:tc>
              <w:tc>
                <w:tcPr>
                  <w:tcW w:w="1740"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sz w:val="21"/>
                    </w:rPr>
                  </w:pPr>
                  <w:r>
                    <w:rPr>
                      <w:rFonts w:cs="Times New Roman"/>
                      <w:bCs/>
                      <w:color w:val="000000"/>
                      <w:sz w:val="21"/>
                    </w:rPr>
                    <w:t>年评价指标</w:t>
                  </w:r>
                </w:p>
              </w:tc>
              <w:tc>
                <w:tcPr>
                  <w:tcW w:w="1125"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themeColor="text1"/>
                      <w:sz w:val="21"/>
                    </w:rPr>
                  </w:pPr>
                  <w:r>
                    <w:rPr>
                      <w:rFonts w:cs="Times New Roman"/>
                      <w:bCs/>
                      <w:color w:val="000000" w:themeColor="text1"/>
                      <w:sz w:val="21"/>
                    </w:rPr>
                    <w:t>现状浓度/（μg/m</w:t>
                  </w:r>
                  <w:r>
                    <w:rPr>
                      <w:rFonts w:cs="Times New Roman"/>
                      <w:bCs/>
                      <w:color w:val="000000" w:themeColor="text1"/>
                      <w:sz w:val="21"/>
                      <w:vertAlign w:val="superscript"/>
                    </w:rPr>
                    <w:t>3</w:t>
                  </w:r>
                  <w:r>
                    <w:rPr>
                      <w:rFonts w:cs="Times New Roman"/>
                      <w:bCs/>
                      <w:color w:val="000000" w:themeColor="text1"/>
                      <w:sz w:val="21"/>
                    </w:rPr>
                    <w:t>）</w:t>
                  </w:r>
                </w:p>
              </w:tc>
              <w:tc>
                <w:tcPr>
                  <w:tcW w:w="1060"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themeColor="text1"/>
                      <w:sz w:val="21"/>
                    </w:rPr>
                  </w:pPr>
                  <w:r>
                    <w:rPr>
                      <w:rFonts w:cs="Times New Roman"/>
                      <w:bCs/>
                      <w:color w:val="000000" w:themeColor="text1"/>
                      <w:sz w:val="21"/>
                    </w:rPr>
                    <w:t>标准</w:t>
                  </w:r>
                  <w:r>
                    <w:rPr>
                      <w:rFonts w:hint="eastAsia" w:cs="Times New Roman"/>
                      <w:bCs/>
                      <w:color w:val="000000" w:themeColor="text1"/>
                      <w:sz w:val="21"/>
                    </w:rPr>
                    <w:t>值</w:t>
                  </w:r>
                  <w:r>
                    <w:rPr>
                      <w:rFonts w:cs="Times New Roman"/>
                      <w:bCs/>
                      <w:color w:val="000000" w:themeColor="text1"/>
                      <w:sz w:val="21"/>
                    </w:rPr>
                    <w:t>/（μg/m</w:t>
                  </w:r>
                  <w:r>
                    <w:rPr>
                      <w:rFonts w:cs="Times New Roman"/>
                      <w:bCs/>
                      <w:color w:val="000000" w:themeColor="text1"/>
                      <w:sz w:val="21"/>
                      <w:vertAlign w:val="superscript"/>
                    </w:rPr>
                    <w:t>3</w:t>
                  </w:r>
                  <w:r>
                    <w:rPr>
                      <w:rFonts w:cs="Times New Roman"/>
                      <w:bCs/>
                      <w:color w:val="000000" w:themeColor="text1"/>
                      <w:sz w:val="21"/>
                    </w:rPr>
                    <w:t>）</w:t>
                  </w:r>
                </w:p>
              </w:tc>
              <w:tc>
                <w:tcPr>
                  <w:tcW w:w="895"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sz w:val="21"/>
                    </w:rPr>
                  </w:pPr>
                  <w:r>
                    <w:rPr>
                      <w:rFonts w:cs="Times New Roman"/>
                      <w:bCs/>
                      <w:color w:val="000000"/>
                      <w:sz w:val="21"/>
                    </w:rPr>
                    <w:t>最大浓度占标率/%</w:t>
                  </w:r>
                </w:p>
              </w:tc>
              <w:tc>
                <w:tcPr>
                  <w:tcW w:w="586"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sz w:val="21"/>
                    </w:rPr>
                  </w:pPr>
                  <w:r>
                    <w:rPr>
                      <w:rFonts w:cs="Times New Roman"/>
                      <w:bCs/>
                      <w:color w:val="000000"/>
                      <w:sz w:val="21"/>
                    </w:rPr>
                    <w:t>超标率/%</w:t>
                  </w:r>
                </w:p>
              </w:tc>
              <w:tc>
                <w:tcPr>
                  <w:tcW w:w="545" w:type="dxa"/>
                  <w:vMerge w:val="restar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sz w:val="21"/>
                    </w:rPr>
                  </w:pPr>
                  <w:r>
                    <w:rPr>
                      <w:rFonts w:cs="Times New Roman"/>
                      <w:bCs/>
                      <w:color w:val="000000"/>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22"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bCs/>
                      <w:color w:val="000000"/>
                      <w:sz w:val="21"/>
                    </w:rPr>
                  </w:pPr>
                </w:p>
              </w:tc>
              <w:tc>
                <w:tcPr>
                  <w:tcW w:w="724"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sz w:val="21"/>
                    </w:rPr>
                  </w:pPr>
                  <w:r>
                    <w:rPr>
                      <w:rFonts w:cs="Times New Roman"/>
                      <w:bCs/>
                      <w:color w:val="000000"/>
                      <w:sz w:val="21"/>
                    </w:rPr>
                    <w:t>X</w:t>
                  </w:r>
                </w:p>
              </w:tc>
              <w:tc>
                <w:tcPr>
                  <w:tcW w:w="72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bCs/>
                      <w:color w:val="000000"/>
                      <w:sz w:val="21"/>
                    </w:rPr>
                  </w:pPr>
                  <w:r>
                    <w:rPr>
                      <w:rFonts w:cs="Times New Roman"/>
                      <w:bCs/>
                      <w:color w:val="000000"/>
                      <w:sz w:val="21"/>
                    </w:rPr>
                    <w:t>Y</w:t>
                  </w:r>
                </w:p>
              </w:tc>
              <w:tc>
                <w:tcPr>
                  <w:tcW w:w="724" w:type="dxa"/>
                  <w:vMerge w:val="continue"/>
                  <w:tcBorders>
                    <w:top w:val="single" w:color="auto" w:sz="4" w:space="0"/>
                    <w:left w:val="nil"/>
                    <w:bottom w:val="single" w:color="auto" w:sz="4" w:space="0"/>
                    <w:right w:val="single" w:color="auto" w:sz="4" w:space="0"/>
                  </w:tcBorders>
                  <w:vAlign w:val="center"/>
                </w:tcPr>
                <w:p>
                  <w:pPr>
                    <w:widowControl/>
                    <w:adjustRightInd w:val="0"/>
                    <w:snapToGrid w:val="0"/>
                    <w:jc w:val="left"/>
                    <w:rPr>
                      <w:rFonts w:cs="Times New Roman"/>
                      <w:bCs/>
                      <w:color w:val="000000"/>
                      <w:sz w:val="21"/>
                    </w:rPr>
                  </w:pPr>
                </w:p>
              </w:tc>
              <w:tc>
                <w:tcPr>
                  <w:tcW w:w="1740" w:type="dxa"/>
                  <w:vMerge w:val="continue"/>
                  <w:tcBorders>
                    <w:top w:val="single" w:color="auto" w:sz="4" w:space="0"/>
                    <w:left w:val="nil"/>
                    <w:bottom w:val="single" w:color="auto" w:sz="4" w:space="0"/>
                    <w:right w:val="single" w:color="auto" w:sz="4" w:space="0"/>
                  </w:tcBorders>
                  <w:vAlign w:val="center"/>
                </w:tcPr>
                <w:p>
                  <w:pPr>
                    <w:widowControl/>
                    <w:adjustRightInd w:val="0"/>
                    <w:snapToGrid w:val="0"/>
                    <w:jc w:val="left"/>
                    <w:rPr>
                      <w:rFonts w:cs="Times New Roman"/>
                      <w:bCs/>
                      <w:color w:val="000000"/>
                      <w:sz w:val="21"/>
                    </w:rPr>
                  </w:pPr>
                </w:p>
              </w:tc>
              <w:tc>
                <w:tcPr>
                  <w:tcW w:w="1125" w:type="dxa"/>
                  <w:vMerge w:val="continue"/>
                  <w:tcBorders>
                    <w:top w:val="single" w:color="auto" w:sz="4" w:space="0"/>
                    <w:left w:val="nil"/>
                    <w:bottom w:val="single" w:color="auto" w:sz="4" w:space="0"/>
                    <w:right w:val="single" w:color="auto" w:sz="4" w:space="0"/>
                  </w:tcBorders>
                  <w:vAlign w:val="center"/>
                </w:tcPr>
                <w:p>
                  <w:pPr>
                    <w:widowControl/>
                    <w:adjustRightInd w:val="0"/>
                    <w:snapToGrid w:val="0"/>
                    <w:jc w:val="left"/>
                    <w:rPr>
                      <w:rFonts w:cs="Times New Roman"/>
                      <w:bCs/>
                      <w:color w:val="000000"/>
                      <w:sz w:val="21"/>
                    </w:rPr>
                  </w:pPr>
                </w:p>
              </w:tc>
              <w:tc>
                <w:tcPr>
                  <w:tcW w:w="1060" w:type="dxa"/>
                  <w:vMerge w:val="continue"/>
                  <w:tcBorders>
                    <w:top w:val="single" w:color="auto" w:sz="4" w:space="0"/>
                    <w:left w:val="nil"/>
                    <w:bottom w:val="single" w:color="auto" w:sz="4" w:space="0"/>
                    <w:right w:val="single" w:color="auto" w:sz="4" w:space="0"/>
                  </w:tcBorders>
                  <w:vAlign w:val="center"/>
                </w:tcPr>
                <w:p>
                  <w:pPr>
                    <w:widowControl/>
                    <w:adjustRightInd w:val="0"/>
                    <w:snapToGrid w:val="0"/>
                    <w:jc w:val="left"/>
                    <w:rPr>
                      <w:rFonts w:cs="Times New Roman"/>
                      <w:bCs/>
                      <w:color w:val="000000"/>
                      <w:sz w:val="21"/>
                    </w:rPr>
                  </w:pPr>
                </w:p>
              </w:tc>
              <w:tc>
                <w:tcPr>
                  <w:tcW w:w="895" w:type="dxa"/>
                  <w:vMerge w:val="continue"/>
                  <w:tcBorders>
                    <w:top w:val="single" w:color="auto" w:sz="4" w:space="0"/>
                    <w:left w:val="nil"/>
                    <w:bottom w:val="single" w:color="auto" w:sz="4" w:space="0"/>
                    <w:right w:val="single" w:color="auto" w:sz="4" w:space="0"/>
                  </w:tcBorders>
                  <w:vAlign w:val="center"/>
                </w:tcPr>
                <w:p>
                  <w:pPr>
                    <w:widowControl/>
                    <w:adjustRightInd w:val="0"/>
                    <w:snapToGrid w:val="0"/>
                    <w:jc w:val="left"/>
                    <w:rPr>
                      <w:rFonts w:cs="Times New Roman"/>
                      <w:bCs/>
                      <w:color w:val="000000"/>
                      <w:sz w:val="21"/>
                    </w:rPr>
                  </w:pPr>
                </w:p>
              </w:tc>
              <w:tc>
                <w:tcPr>
                  <w:tcW w:w="586" w:type="dxa"/>
                  <w:vMerge w:val="continue"/>
                  <w:tcBorders>
                    <w:top w:val="single" w:color="auto" w:sz="4" w:space="0"/>
                    <w:left w:val="nil"/>
                    <w:bottom w:val="single" w:color="auto" w:sz="4" w:space="0"/>
                    <w:right w:val="single" w:color="auto" w:sz="4" w:space="0"/>
                  </w:tcBorders>
                  <w:vAlign w:val="center"/>
                </w:tcPr>
                <w:p>
                  <w:pPr>
                    <w:widowControl/>
                    <w:adjustRightInd w:val="0"/>
                    <w:snapToGrid w:val="0"/>
                    <w:jc w:val="left"/>
                    <w:rPr>
                      <w:rFonts w:cs="Times New Roman"/>
                      <w:bCs/>
                      <w:color w:val="000000"/>
                      <w:sz w:val="21"/>
                    </w:rPr>
                  </w:pPr>
                </w:p>
              </w:tc>
              <w:tc>
                <w:tcPr>
                  <w:tcW w:w="545" w:type="dxa"/>
                  <w:vMerge w:val="continue"/>
                  <w:tcBorders>
                    <w:top w:val="single" w:color="auto" w:sz="4" w:space="0"/>
                    <w:left w:val="nil"/>
                    <w:bottom w:val="single" w:color="auto" w:sz="4" w:space="0"/>
                    <w:right w:val="single" w:color="auto" w:sz="4" w:space="0"/>
                  </w:tcBorders>
                  <w:vAlign w:val="center"/>
                </w:tcPr>
                <w:p>
                  <w:pPr>
                    <w:widowControl/>
                    <w:adjustRightInd w:val="0"/>
                    <w:snapToGrid w:val="0"/>
                    <w:jc w:val="left"/>
                    <w:rPr>
                      <w:rFonts w:cs="Times New Roman"/>
                      <w:bCs/>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vMerge w:val="restart"/>
                  <w:tcBorders>
                    <w:top w:val="nil"/>
                    <w:left w:val="single" w:color="auto" w:sz="4" w:space="0"/>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国家环境空气质量监测网城陵矶站</w:t>
                  </w:r>
                </w:p>
              </w:tc>
              <w:tc>
                <w:tcPr>
                  <w:tcW w:w="724" w:type="dxa"/>
                  <w:vMerge w:val="restart"/>
                  <w:tcBorders>
                    <w:top w:val="nil"/>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708859.95</w:t>
                  </w:r>
                </w:p>
              </w:tc>
              <w:tc>
                <w:tcPr>
                  <w:tcW w:w="725" w:type="dxa"/>
                  <w:vMerge w:val="restart"/>
                  <w:tcBorders>
                    <w:top w:val="nil"/>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3258432.11</w:t>
                  </w:r>
                </w:p>
              </w:tc>
              <w:tc>
                <w:tcPr>
                  <w:tcW w:w="724"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SO</w:t>
                  </w:r>
                  <w:r>
                    <w:rPr>
                      <w:rFonts w:cs="Times New Roman"/>
                      <w:color w:val="000000"/>
                      <w:sz w:val="21"/>
                      <w:vertAlign w:val="subscript"/>
                    </w:rPr>
                    <w:t>2</w:t>
                  </w:r>
                </w:p>
              </w:tc>
              <w:tc>
                <w:tcPr>
                  <w:tcW w:w="174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年平均质量浓度</w:t>
                  </w:r>
                </w:p>
              </w:tc>
              <w:tc>
                <w:tcPr>
                  <w:tcW w:w="112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9</w:t>
                  </w:r>
                </w:p>
              </w:tc>
              <w:tc>
                <w:tcPr>
                  <w:tcW w:w="106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60</w:t>
                  </w:r>
                </w:p>
              </w:tc>
              <w:tc>
                <w:tcPr>
                  <w:tcW w:w="89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15</w:t>
                  </w:r>
                </w:p>
              </w:tc>
              <w:tc>
                <w:tcPr>
                  <w:tcW w:w="586"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0</w:t>
                  </w:r>
                </w:p>
              </w:tc>
              <w:tc>
                <w:tcPr>
                  <w:tcW w:w="54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5"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NO</w:t>
                  </w:r>
                  <w:r>
                    <w:rPr>
                      <w:rFonts w:cs="Times New Roman"/>
                      <w:color w:val="000000"/>
                      <w:sz w:val="21"/>
                      <w:vertAlign w:val="subscript"/>
                    </w:rPr>
                    <w:t>2</w:t>
                  </w:r>
                </w:p>
              </w:tc>
              <w:tc>
                <w:tcPr>
                  <w:tcW w:w="174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年平均质量浓度</w:t>
                  </w:r>
                </w:p>
              </w:tc>
              <w:tc>
                <w:tcPr>
                  <w:tcW w:w="112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27</w:t>
                  </w:r>
                </w:p>
              </w:tc>
              <w:tc>
                <w:tcPr>
                  <w:tcW w:w="106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40</w:t>
                  </w:r>
                </w:p>
              </w:tc>
              <w:tc>
                <w:tcPr>
                  <w:tcW w:w="89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67.5</w:t>
                  </w:r>
                </w:p>
              </w:tc>
              <w:tc>
                <w:tcPr>
                  <w:tcW w:w="586"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0</w:t>
                  </w:r>
                </w:p>
              </w:tc>
              <w:tc>
                <w:tcPr>
                  <w:tcW w:w="54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5"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PM</w:t>
                  </w:r>
                  <w:r>
                    <w:rPr>
                      <w:rFonts w:cs="Times New Roman"/>
                      <w:color w:val="000000"/>
                      <w:sz w:val="21"/>
                      <w:vertAlign w:val="subscript"/>
                    </w:rPr>
                    <w:t>10</w:t>
                  </w:r>
                </w:p>
              </w:tc>
              <w:tc>
                <w:tcPr>
                  <w:tcW w:w="174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年平均质量浓度</w:t>
                  </w:r>
                </w:p>
              </w:tc>
              <w:tc>
                <w:tcPr>
                  <w:tcW w:w="112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68</w:t>
                  </w:r>
                </w:p>
              </w:tc>
              <w:tc>
                <w:tcPr>
                  <w:tcW w:w="106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70</w:t>
                  </w:r>
                </w:p>
              </w:tc>
              <w:tc>
                <w:tcPr>
                  <w:tcW w:w="89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97.1</w:t>
                  </w:r>
                </w:p>
              </w:tc>
              <w:tc>
                <w:tcPr>
                  <w:tcW w:w="586"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0</w:t>
                  </w:r>
                </w:p>
              </w:tc>
              <w:tc>
                <w:tcPr>
                  <w:tcW w:w="54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5"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PM</w:t>
                  </w:r>
                  <w:r>
                    <w:rPr>
                      <w:rFonts w:cs="Times New Roman"/>
                      <w:color w:val="000000"/>
                      <w:sz w:val="21"/>
                      <w:vertAlign w:val="subscript"/>
                    </w:rPr>
                    <w:t>2.5</w:t>
                  </w:r>
                </w:p>
              </w:tc>
              <w:tc>
                <w:tcPr>
                  <w:tcW w:w="174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年平均质量浓度</w:t>
                  </w:r>
                </w:p>
              </w:tc>
              <w:tc>
                <w:tcPr>
                  <w:tcW w:w="112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44</w:t>
                  </w:r>
                </w:p>
              </w:tc>
              <w:tc>
                <w:tcPr>
                  <w:tcW w:w="106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35</w:t>
                  </w:r>
                </w:p>
              </w:tc>
              <w:tc>
                <w:tcPr>
                  <w:tcW w:w="89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125.7</w:t>
                  </w:r>
                </w:p>
              </w:tc>
              <w:tc>
                <w:tcPr>
                  <w:tcW w:w="586"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100</w:t>
                  </w:r>
                </w:p>
              </w:tc>
              <w:tc>
                <w:tcPr>
                  <w:tcW w:w="54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5"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CO</w:t>
                  </w:r>
                </w:p>
              </w:tc>
              <w:tc>
                <w:tcPr>
                  <w:tcW w:w="174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第95百分位数日平均浓度</w:t>
                  </w:r>
                </w:p>
              </w:tc>
              <w:tc>
                <w:tcPr>
                  <w:tcW w:w="112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1200</w:t>
                  </w:r>
                </w:p>
              </w:tc>
              <w:tc>
                <w:tcPr>
                  <w:tcW w:w="106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4000</w:t>
                  </w:r>
                </w:p>
              </w:tc>
              <w:tc>
                <w:tcPr>
                  <w:tcW w:w="89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30</w:t>
                  </w:r>
                </w:p>
              </w:tc>
              <w:tc>
                <w:tcPr>
                  <w:tcW w:w="586"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0</w:t>
                  </w:r>
                </w:p>
              </w:tc>
              <w:tc>
                <w:tcPr>
                  <w:tcW w:w="54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72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5" w:type="dxa"/>
                  <w:vMerge w:val="continue"/>
                  <w:tcBorders>
                    <w:top w:val="nil"/>
                    <w:left w:val="nil"/>
                    <w:bottom w:val="single" w:color="auto" w:sz="4" w:space="0"/>
                    <w:right w:val="single" w:color="auto" w:sz="4" w:space="0"/>
                  </w:tcBorders>
                  <w:vAlign w:val="center"/>
                </w:tcPr>
                <w:p>
                  <w:pPr>
                    <w:widowControl/>
                    <w:adjustRightInd w:val="0"/>
                    <w:snapToGrid w:val="0"/>
                    <w:jc w:val="left"/>
                    <w:rPr>
                      <w:rFonts w:cs="Times New Roman"/>
                      <w:color w:val="000000"/>
                      <w:sz w:val="21"/>
                    </w:rPr>
                  </w:pPr>
                </w:p>
              </w:tc>
              <w:tc>
                <w:tcPr>
                  <w:tcW w:w="724"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O</w:t>
                  </w:r>
                  <w:r>
                    <w:rPr>
                      <w:rFonts w:cs="Times New Roman"/>
                      <w:color w:val="000000"/>
                      <w:sz w:val="21"/>
                      <w:vertAlign w:val="subscript"/>
                    </w:rPr>
                    <w:t>3</w:t>
                  </w:r>
                </w:p>
              </w:tc>
              <w:tc>
                <w:tcPr>
                  <w:tcW w:w="174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第90百分位数最大8小时平均浓度</w:t>
                  </w:r>
                </w:p>
              </w:tc>
              <w:tc>
                <w:tcPr>
                  <w:tcW w:w="112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135</w:t>
                  </w:r>
                </w:p>
              </w:tc>
              <w:tc>
                <w:tcPr>
                  <w:tcW w:w="1060"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160</w:t>
                  </w:r>
                </w:p>
              </w:tc>
              <w:tc>
                <w:tcPr>
                  <w:tcW w:w="89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84.4</w:t>
                  </w:r>
                </w:p>
              </w:tc>
              <w:tc>
                <w:tcPr>
                  <w:tcW w:w="586"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0</w:t>
                  </w:r>
                </w:p>
              </w:tc>
              <w:tc>
                <w:tcPr>
                  <w:tcW w:w="545" w:type="dxa"/>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达标</w:t>
                  </w:r>
                </w:p>
              </w:tc>
            </w:tr>
          </w:tbl>
          <w:p>
            <w:pPr>
              <w:spacing w:line="360" w:lineRule="auto"/>
              <w:ind w:firstLine="480" w:firstLineChars="200"/>
              <w:rPr>
                <w:rFonts w:hint="default" w:ascii="Times New Roman" w:hAnsi="Times New Roman" w:cs="Times New Roman"/>
                <w:color w:val="000000"/>
                <w:szCs w:val="24"/>
              </w:rPr>
            </w:pPr>
            <w:r>
              <w:rPr>
                <w:rFonts w:hint="default" w:ascii="Times New Roman" w:hAnsi="Times New Roman" w:cs="Times New Roman"/>
                <w:szCs w:val="24"/>
              </w:rPr>
              <w:t>由上表的结果可知，项目评价范围内基本污染物SO</w:t>
            </w:r>
            <w:r>
              <w:rPr>
                <w:rFonts w:hint="default" w:ascii="Times New Roman" w:hAnsi="Times New Roman" w:cs="Times New Roman"/>
                <w:szCs w:val="24"/>
                <w:vertAlign w:val="subscript"/>
              </w:rPr>
              <w:t>2</w:t>
            </w:r>
            <w:r>
              <w:rPr>
                <w:rFonts w:hint="default" w:ascii="Times New Roman" w:hAnsi="Times New Roman" w:cs="Times New Roman"/>
                <w:szCs w:val="24"/>
              </w:rPr>
              <w:t>、NO</w:t>
            </w:r>
            <w:r>
              <w:rPr>
                <w:rFonts w:hint="default" w:ascii="Times New Roman" w:hAnsi="Times New Roman" w:cs="Times New Roman"/>
                <w:szCs w:val="24"/>
                <w:vertAlign w:val="subscript"/>
              </w:rPr>
              <w:t>2</w:t>
            </w:r>
            <w:r>
              <w:rPr>
                <w:rFonts w:hint="default" w:ascii="Times New Roman" w:hAnsi="Times New Roman" w:cs="Times New Roman"/>
                <w:szCs w:val="24"/>
              </w:rPr>
              <w:t>、PM</w:t>
            </w:r>
            <w:r>
              <w:rPr>
                <w:rFonts w:hint="default" w:ascii="Times New Roman" w:hAnsi="Times New Roman" w:cs="Times New Roman"/>
                <w:szCs w:val="24"/>
                <w:vertAlign w:val="subscript"/>
              </w:rPr>
              <w:t>10</w:t>
            </w:r>
            <w:r>
              <w:rPr>
                <w:rFonts w:hint="default" w:ascii="Times New Roman" w:hAnsi="Times New Roman" w:cs="Times New Roman"/>
                <w:szCs w:val="24"/>
              </w:rPr>
              <w:t>、CO、O</w:t>
            </w:r>
            <w:r>
              <w:rPr>
                <w:rFonts w:hint="default" w:ascii="Times New Roman" w:hAnsi="Times New Roman" w:cs="Times New Roman"/>
                <w:szCs w:val="24"/>
                <w:vertAlign w:val="subscript"/>
              </w:rPr>
              <w:t>3</w:t>
            </w:r>
            <w:r>
              <w:rPr>
                <w:rFonts w:hint="default" w:ascii="Times New Roman" w:hAnsi="Times New Roman" w:cs="Times New Roman"/>
                <w:szCs w:val="24"/>
              </w:rPr>
              <w:t>均符合《环境空气质量标准》（GB3095-2012）中的二级标准的要求，PM</w:t>
            </w:r>
            <w:r>
              <w:rPr>
                <w:rFonts w:hint="default" w:ascii="Times New Roman" w:hAnsi="Times New Roman" w:cs="Times New Roman"/>
                <w:szCs w:val="24"/>
                <w:vertAlign w:val="subscript"/>
              </w:rPr>
              <w:t>2.5</w:t>
            </w:r>
            <w:r>
              <w:rPr>
                <w:rFonts w:hint="default" w:ascii="Times New Roman" w:hAnsi="Times New Roman" w:cs="Times New Roman"/>
                <w:szCs w:val="24"/>
              </w:rPr>
              <w:t>超过《环境空气质量标准》（GB3095-2012）中的二级标准的要求。</w:t>
            </w:r>
            <w:r>
              <w:rPr>
                <w:rFonts w:hint="default" w:ascii="Times New Roman" w:hAnsi="Times New Roman" w:cs="Times New Roman"/>
                <w:color w:val="000000"/>
                <w:szCs w:val="24"/>
              </w:rPr>
              <w:t>故本项目所在区域2019年为环境空气质量不达标区，不达标因子为PM</w:t>
            </w:r>
            <w:r>
              <w:rPr>
                <w:rFonts w:hint="default" w:ascii="Times New Roman" w:hAnsi="Times New Roman" w:cs="Times New Roman"/>
                <w:color w:val="000000"/>
                <w:szCs w:val="24"/>
                <w:vertAlign w:val="subscript"/>
              </w:rPr>
              <w:t>2.5</w:t>
            </w:r>
            <w:r>
              <w:rPr>
                <w:rFonts w:hint="default" w:ascii="Times New Roman" w:hAnsi="Times New Roman" w:cs="Times New Roman"/>
                <w:color w:val="000000"/>
                <w:szCs w:val="24"/>
              </w:rPr>
              <w:t>。</w:t>
            </w:r>
          </w:p>
          <w:p>
            <w:pPr>
              <w:spacing w:line="348" w:lineRule="auto"/>
              <w:ind w:firstLine="480" w:firstLineChars="200"/>
              <w:rPr>
                <w:rFonts w:cs="Times New Roman"/>
                <w:szCs w:val="24"/>
              </w:rPr>
            </w:pPr>
            <w:r>
              <w:rPr>
                <w:rFonts w:cs="Times New Roman"/>
                <w:color w:val="000000"/>
                <w:szCs w:val="24"/>
              </w:rPr>
              <w:t>根据湖南省人民政府2018年6月18日发布的《湖南省污染防治攻坚战三年行动计划（2018—2020）年》的通知（湘政发〔2018〕17号）要求：到2020年，岳阳PM</w:t>
            </w:r>
            <w:r>
              <w:rPr>
                <w:rFonts w:cs="Times New Roman"/>
                <w:color w:val="000000"/>
                <w:szCs w:val="24"/>
                <w:vertAlign w:val="subscript"/>
              </w:rPr>
              <w:t>2.5</w:t>
            </w:r>
            <w:r>
              <w:rPr>
                <w:rFonts w:cs="Times New Roman"/>
                <w:color w:val="000000"/>
                <w:szCs w:val="24"/>
              </w:rPr>
              <w:t>年均浓度平均值下降到41μg/m</w:t>
            </w:r>
            <w:r>
              <w:rPr>
                <w:rFonts w:cs="Times New Roman"/>
                <w:color w:val="000000"/>
                <w:szCs w:val="24"/>
                <w:vertAlign w:val="superscript"/>
              </w:rPr>
              <w:t>3</w:t>
            </w:r>
            <w:r>
              <w:rPr>
                <w:rFonts w:cs="Times New Roman"/>
                <w:color w:val="000000"/>
                <w:szCs w:val="24"/>
              </w:rPr>
              <w:t>以下，PM</w:t>
            </w:r>
            <w:r>
              <w:rPr>
                <w:rFonts w:cs="Times New Roman"/>
                <w:color w:val="000000"/>
                <w:szCs w:val="24"/>
                <w:vertAlign w:val="subscript"/>
              </w:rPr>
              <w:t>10</w:t>
            </w:r>
            <w:r>
              <w:rPr>
                <w:rFonts w:cs="Times New Roman"/>
                <w:color w:val="000000"/>
                <w:szCs w:val="24"/>
              </w:rPr>
              <w:t>年均浓度平均值下降到71μg/m</w:t>
            </w:r>
            <w:r>
              <w:rPr>
                <w:rFonts w:cs="Times New Roman"/>
                <w:color w:val="000000"/>
                <w:szCs w:val="24"/>
                <w:vertAlign w:val="superscript"/>
              </w:rPr>
              <w:t>3</w:t>
            </w:r>
            <w:r>
              <w:rPr>
                <w:rFonts w:cs="Times New Roman"/>
                <w:color w:val="000000"/>
                <w:szCs w:val="24"/>
              </w:rPr>
              <w:t>以下，城市环境空气质量优良率平均达到83%以上。同时根据《打赢蓝天保卫战三年行动计划》要求，当地政府加大环境治理力度，采取更为严格的大气防治手段，项目所在地区环境空气质量将得到持续改善。</w:t>
            </w:r>
          </w:p>
          <w:p>
            <w:pPr>
              <w:adjustRightInd w:val="0"/>
              <w:snapToGrid w:val="0"/>
              <w:spacing w:line="360" w:lineRule="auto"/>
              <w:ind w:firstLine="480" w:firstLineChars="200"/>
              <w:rPr>
                <w:rFonts w:cs="Times New Roman"/>
                <w:color w:val="000000" w:themeColor="text1"/>
              </w:rPr>
            </w:pPr>
            <w:r>
              <w:rPr>
                <w:rFonts w:hint="eastAsia" w:cs="Times New Roman"/>
                <w:color w:val="000000" w:themeColor="text1"/>
              </w:rPr>
              <w:t>2</w:t>
            </w:r>
            <w:r>
              <w:rPr>
                <w:rFonts w:cs="Times New Roman"/>
                <w:color w:val="000000" w:themeColor="text1"/>
              </w:rPr>
              <w:t>、其他污染物环境质量现状</w:t>
            </w:r>
          </w:p>
          <w:p>
            <w:pPr>
              <w:adjustRightInd w:val="0"/>
              <w:snapToGrid w:val="0"/>
              <w:spacing w:line="360" w:lineRule="auto"/>
              <w:ind w:firstLine="480" w:firstLineChars="200"/>
              <w:rPr>
                <w:rFonts w:cs="Times New Roman"/>
                <w:color w:val="000000" w:themeColor="text1"/>
              </w:rPr>
            </w:pPr>
            <w:r>
              <w:rPr>
                <w:rFonts w:hint="eastAsia" w:cs="Times New Roman"/>
                <w:color w:val="000000" w:themeColor="text1"/>
              </w:rPr>
              <w:t>本项目其他特征污染物为颗粒物，</w:t>
            </w:r>
            <w:r>
              <w:rPr>
                <w:rFonts w:cs="Times New Roman"/>
                <w:color w:val="000000" w:themeColor="text1"/>
              </w:rPr>
              <w:t>为了解本项目特征因子颗粒物环境空气质量现状，本项目引用富强科技股份有限公司《富强科技建材产业示范园建设项目（一期）》委托</w:t>
            </w:r>
            <w:r>
              <w:rPr>
                <w:rFonts w:cs="Times New Roman"/>
                <w:color w:val="000000" w:themeColor="text1"/>
                <w:szCs w:val="32"/>
              </w:rPr>
              <w:t>湖南宏润检测有限公司2019年8月4日~10日</w:t>
            </w:r>
            <w:r>
              <w:rPr>
                <w:rFonts w:cs="Times New Roman"/>
                <w:bCs/>
                <w:color w:val="000000" w:themeColor="text1"/>
              </w:rPr>
              <w:t>对项目地</w:t>
            </w:r>
            <w:r>
              <w:rPr>
                <w:rFonts w:cs="Times New Roman"/>
                <w:color w:val="000000" w:themeColor="text1"/>
              </w:rPr>
              <w:t>进行的环境空气质量中特征因子TSP的现状监测，采样点A1位于本项目</w:t>
            </w:r>
            <w:r>
              <w:rPr>
                <w:rFonts w:cs="Times New Roman"/>
                <w:color w:val="000000" w:themeColor="text1"/>
                <w:szCs w:val="32"/>
              </w:rPr>
              <w:t>西北方向约490m，采样点A2位于本项目西北方向615m，引用的监测点位距离很项目很近，气候与地形条件基本与本项目所在位置一致，则引用数据具有可行性。</w:t>
            </w:r>
            <w:r>
              <w:rPr>
                <w:rFonts w:cs="Times New Roman"/>
                <w:color w:val="000000" w:themeColor="text1"/>
              </w:rPr>
              <w:t>监测结果如下表所示。引用数据监测点位图见下图所示。</w:t>
            </w:r>
          </w:p>
          <w:p>
            <w:pPr>
              <w:adjustRightInd w:val="0"/>
              <w:snapToGrid w:val="0"/>
              <w:ind w:firstLine="480" w:firstLineChars="200"/>
            </w:pPr>
            <w:r>
              <w:drawing>
                <wp:inline distT="0" distB="0" distL="114300" distR="114300">
                  <wp:extent cx="4998720" cy="3154045"/>
                  <wp:effectExtent l="0" t="0" r="11430" b="825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1" cstate="print"/>
                          <a:stretch>
                            <a:fillRect/>
                          </a:stretch>
                        </pic:blipFill>
                        <pic:spPr>
                          <a:xfrm>
                            <a:off x="0" y="0"/>
                            <a:ext cx="4998720" cy="3154045"/>
                          </a:xfrm>
                          <a:prstGeom prst="rect">
                            <a:avLst/>
                          </a:prstGeom>
                          <a:noFill/>
                          <a:ln>
                            <a:noFill/>
                          </a:ln>
                        </pic:spPr>
                      </pic:pic>
                    </a:graphicData>
                  </a:graphic>
                </wp:inline>
              </w:drawing>
            </w:r>
          </w:p>
          <w:p>
            <w:pPr>
              <w:ind w:firstLine="422" w:firstLineChars="200"/>
              <w:jc w:val="center"/>
              <w:rPr>
                <w:b/>
                <w:bCs/>
                <w:sz w:val="21"/>
              </w:rPr>
            </w:pPr>
            <w:r>
              <w:rPr>
                <w:rFonts w:hint="eastAsia"/>
                <w:b/>
                <w:bCs/>
                <w:sz w:val="21"/>
              </w:rPr>
              <w:t>图3.2-1  本项目引用数据与项目位置关系图</w:t>
            </w:r>
          </w:p>
          <w:p>
            <w:pPr>
              <w:ind w:firstLine="420" w:firstLineChars="200"/>
              <w:jc w:val="left"/>
              <w:rPr>
                <w:rFonts w:cs="Times New Roman"/>
                <w:bCs/>
                <w:color w:val="000000" w:themeColor="text1"/>
                <w:sz w:val="21"/>
              </w:rPr>
            </w:pPr>
            <w:r>
              <w:rPr>
                <w:rFonts w:hint="eastAsia" w:cs="Times New Roman"/>
                <w:bCs/>
                <w:color w:val="000000" w:themeColor="text1"/>
                <w:sz w:val="21"/>
              </w:rPr>
              <w:t>具体的监测数据见下表所示。</w:t>
            </w:r>
          </w:p>
          <w:p>
            <w:pPr>
              <w:ind w:firstLine="422" w:firstLineChars="200"/>
              <w:jc w:val="center"/>
              <w:rPr>
                <w:rFonts w:cs="Times New Roman"/>
                <w:b/>
                <w:color w:val="000000" w:themeColor="text1"/>
                <w:sz w:val="21"/>
              </w:rPr>
            </w:pPr>
            <w:r>
              <w:rPr>
                <w:rFonts w:cs="Times New Roman"/>
                <w:b/>
                <w:color w:val="000000" w:themeColor="text1"/>
                <w:sz w:val="21"/>
              </w:rPr>
              <w:t>表</w:t>
            </w:r>
            <w:r>
              <w:rPr>
                <w:rFonts w:cs="Times New Roman"/>
                <w:b/>
                <w:color w:val="000000" w:themeColor="text1"/>
                <w:sz w:val="21"/>
              </w:rPr>
              <w:fldChar w:fldCharType="begin"/>
            </w:r>
            <w:r>
              <w:rPr>
                <w:rFonts w:cs="Times New Roman"/>
                <w:b/>
                <w:color w:val="000000" w:themeColor="text1"/>
                <w:sz w:val="21"/>
              </w:rPr>
              <w:instrText xml:space="preserve"> STYLEREF 2 \s </w:instrText>
            </w:r>
            <w:r>
              <w:rPr>
                <w:rFonts w:cs="Times New Roman"/>
                <w:b/>
                <w:color w:val="000000" w:themeColor="text1"/>
                <w:sz w:val="21"/>
              </w:rPr>
              <w:fldChar w:fldCharType="separate"/>
            </w:r>
            <w:r>
              <w:rPr>
                <w:rFonts w:cs="Times New Roman"/>
                <w:b/>
                <w:color w:val="000000" w:themeColor="text1"/>
                <w:sz w:val="21"/>
              </w:rPr>
              <w:t>3.2</w:t>
            </w:r>
            <w:r>
              <w:rPr>
                <w:rFonts w:cs="Times New Roman"/>
                <w:b/>
                <w:color w:val="000000" w:themeColor="text1"/>
                <w:sz w:val="21"/>
              </w:rPr>
              <w:fldChar w:fldCharType="end"/>
            </w:r>
            <w:r>
              <w:rPr>
                <w:rFonts w:cs="Times New Roman"/>
                <w:b/>
                <w:color w:val="000000" w:themeColor="text1"/>
                <w:sz w:val="21"/>
              </w:rPr>
              <w:noBreakHyphen/>
            </w:r>
            <w:r>
              <w:rPr>
                <w:rFonts w:cs="Times New Roman"/>
                <w:b/>
                <w:color w:val="000000" w:themeColor="text1"/>
                <w:sz w:val="21"/>
              </w:rPr>
              <w:fldChar w:fldCharType="begin"/>
            </w:r>
            <w:r>
              <w:rPr>
                <w:rFonts w:cs="Times New Roman"/>
                <w:b/>
                <w:color w:val="000000" w:themeColor="text1"/>
                <w:sz w:val="21"/>
              </w:rPr>
              <w:instrText xml:space="preserve"> SEQ 表 \* ARABIC \s 2 </w:instrText>
            </w:r>
            <w:r>
              <w:rPr>
                <w:rFonts w:cs="Times New Roman"/>
                <w:b/>
                <w:color w:val="000000" w:themeColor="text1"/>
                <w:sz w:val="21"/>
              </w:rPr>
              <w:fldChar w:fldCharType="separate"/>
            </w:r>
            <w:r>
              <w:rPr>
                <w:rFonts w:cs="Times New Roman"/>
                <w:b/>
                <w:color w:val="000000" w:themeColor="text1"/>
                <w:sz w:val="21"/>
              </w:rPr>
              <w:t>2</w:t>
            </w:r>
            <w:r>
              <w:rPr>
                <w:rFonts w:cs="Times New Roman"/>
                <w:b/>
                <w:color w:val="000000" w:themeColor="text1"/>
                <w:sz w:val="21"/>
              </w:rPr>
              <w:fldChar w:fldCharType="end"/>
            </w:r>
            <w:r>
              <w:rPr>
                <w:rFonts w:cs="Times New Roman"/>
                <w:b/>
                <w:color w:val="000000" w:themeColor="text1"/>
                <w:sz w:val="21"/>
              </w:rPr>
              <w:t xml:space="preserve">  特征污染物现状监测数据一栏表  单位：mg/m</w:t>
            </w:r>
            <w:r>
              <w:rPr>
                <w:rFonts w:cs="Times New Roman"/>
                <w:b/>
                <w:color w:val="000000" w:themeColor="text1"/>
                <w:sz w:val="21"/>
                <w:vertAlign w:val="superscript"/>
              </w:rPr>
              <w:t>3</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548"/>
              <w:gridCol w:w="689"/>
              <w:gridCol w:w="689"/>
              <w:gridCol w:w="689"/>
              <w:gridCol w:w="689"/>
              <w:gridCol w:w="689"/>
              <w:gridCol w:w="689"/>
              <w:gridCol w:w="689"/>
              <w:gridCol w:w="546"/>
              <w:gridCol w:w="499"/>
              <w:gridCol w:w="475"/>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bCs/>
                      <w:sz w:val="21"/>
                      <w:szCs w:val="21"/>
                      <w:u w:val="single"/>
                    </w:rPr>
                  </w:pPr>
                  <w:r>
                    <w:rPr>
                      <w:rFonts w:hint="eastAsia" w:cs="Times New Roman"/>
                      <w:bCs/>
                      <w:sz w:val="21"/>
                      <w:szCs w:val="21"/>
                      <w:u w:val="single"/>
                    </w:rPr>
                    <w:t>引用点位</w:t>
                  </w:r>
                </w:p>
              </w:tc>
              <w:tc>
                <w:tcPr>
                  <w:tcW w:w="652" w:type="dxa"/>
                  <w:vMerge w:val="restar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bCs/>
                      <w:sz w:val="21"/>
                      <w:szCs w:val="21"/>
                      <w:u w:val="single"/>
                    </w:rPr>
                  </w:pPr>
                  <w:r>
                    <w:rPr>
                      <w:rFonts w:cs="Times New Roman"/>
                      <w:bCs/>
                      <w:sz w:val="21"/>
                      <w:szCs w:val="21"/>
                      <w:u w:val="single"/>
                    </w:rPr>
                    <w:t>检测项目</w:t>
                  </w:r>
                </w:p>
              </w:tc>
              <w:tc>
                <w:tcPr>
                  <w:tcW w:w="4823" w:type="dxa"/>
                  <w:gridSpan w:val="7"/>
                  <w:tcBorders>
                    <w:top w:val="single" w:color="auto" w:sz="4" w:space="0"/>
                    <w:left w:val="nil"/>
                    <w:bottom w:val="single" w:color="auto" w:sz="4" w:space="0"/>
                    <w:right w:val="single" w:color="auto" w:sz="4" w:space="0"/>
                  </w:tcBorders>
                  <w:vAlign w:val="center"/>
                </w:tcPr>
                <w:p>
                  <w:pPr>
                    <w:pStyle w:val="82"/>
                    <w:keepNext w:val="0"/>
                    <w:keepLines w:val="0"/>
                    <w:pageBreakBefore w:val="0"/>
                    <w:kinsoku/>
                    <w:wordWrap/>
                    <w:overflowPunct/>
                    <w:topLinePunct w:val="0"/>
                    <w:bidi w:val="0"/>
                    <w:adjustRightInd w:val="0"/>
                    <w:snapToGrid w:val="0"/>
                    <w:jc w:val="center"/>
                    <w:textAlignment w:val="auto"/>
                    <w:rPr>
                      <w:rFonts w:ascii="Times New Roman" w:hAnsi="Times New Roman" w:cs="Times New Roman"/>
                      <w:bCs/>
                      <w:kern w:val="2"/>
                      <w:sz w:val="21"/>
                      <w:szCs w:val="21"/>
                      <w:u w:val="single"/>
                    </w:rPr>
                  </w:pPr>
                  <w:r>
                    <w:rPr>
                      <w:rFonts w:ascii="Times New Roman" w:hAnsi="Times New Roman" w:cs="Times New Roman"/>
                      <w:bCs/>
                      <w:kern w:val="2"/>
                      <w:sz w:val="21"/>
                      <w:szCs w:val="21"/>
                      <w:u w:val="single"/>
                    </w:rPr>
                    <w:t>检测结果（mg/m</w:t>
                  </w:r>
                  <w:r>
                    <w:rPr>
                      <w:rFonts w:ascii="Times New Roman" w:hAnsi="Times New Roman" w:cs="Times New Roman"/>
                      <w:bCs/>
                      <w:kern w:val="2"/>
                      <w:sz w:val="21"/>
                      <w:szCs w:val="21"/>
                      <w:u w:val="single"/>
                      <w:vertAlign w:val="superscript"/>
                    </w:rPr>
                    <w:t>3</w:t>
                  </w:r>
                  <w:r>
                    <w:rPr>
                      <w:rFonts w:ascii="Times New Roman" w:hAnsi="Times New Roman" w:cs="Times New Roman"/>
                      <w:bCs/>
                      <w:kern w:val="2"/>
                      <w:sz w:val="21"/>
                      <w:szCs w:val="21"/>
                      <w:u w:val="single"/>
                    </w:rPr>
                    <w:t>）</w:t>
                  </w:r>
                </w:p>
              </w:tc>
              <w:tc>
                <w:tcPr>
                  <w:tcW w:w="603" w:type="dxa"/>
                  <w:vMerge w:val="restart"/>
                  <w:tcBorders>
                    <w:top w:val="single" w:color="auto" w:sz="4" w:space="0"/>
                    <w:left w:val="nil"/>
                    <w:bottom w:val="single" w:color="auto" w:sz="4" w:space="0"/>
                    <w:right w:val="single" w:color="auto" w:sz="4" w:space="0"/>
                  </w:tcBorders>
                  <w:vAlign w:val="center"/>
                </w:tcPr>
                <w:p>
                  <w:pPr>
                    <w:pStyle w:val="82"/>
                    <w:keepNext w:val="0"/>
                    <w:keepLines w:val="0"/>
                    <w:pageBreakBefore w:val="0"/>
                    <w:kinsoku/>
                    <w:wordWrap/>
                    <w:overflowPunct/>
                    <w:topLinePunct w:val="0"/>
                    <w:bidi w:val="0"/>
                    <w:adjustRightInd w:val="0"/>
                    <w:snapToGrid w:val="0"/>
                    <w:jc w:val="center"/>
                    <w:textAlignment w:val="auto"/>
                    <w:rPr>
                      <w:rFonts w:ascii="Times New Roman" w:hAnsi="Times New Roman" w:cs="Times New Roman"/>
                      <w:bCs/>
                      <w:kern w:val="2"/>
                      <w:sz w:val="21"/>
                      <w:szCs w:val="21"/>
                      <w:u w:val="single"/>
                    </w:rPr>
                  </w:pPr>
                  <w:r>
                    <w:rPr>
                      <w:rFonts w:ascii="Times New Roman" w:hAnsi="Times New Roman" w:cs="Times New Roman"/>
                      <w:bCs/>
                      <w:kern w:val="2"/>
                      <w:sz w:val="21"/>
                      <w:szCs w:val="21"/>
                      <w:u w:val="single"/>
                    </w:rPr>
                    <w:t>标准限值</w:t>
                  </w:r>
                </w:p>
              </w:tc>
              <w:tc>
                <w:tcPr>
                  <w:tcW w:w="562" w:type="dxa"/>
                  <w:vMerge w:val="restart"/>
                  <w:tcBorders>
                    <w:top w:val="single" w:color="auto" w:sz="4" w:space="0"/>
                    <w:left w:val="nil"/>
                    <w:bottom w:val="single" w:color="auto" w:sz="4" w:space="0"/>
                    <w:right w:val="single" w:color="auto" w:sz="4" w:space="0"/>
                  </w:tcBorders>
                  <w:vAlign w:val="center"/>
                </w:tcPr>
                <w:p>
                  <w:pPr>
                    <w:pStyle w:val="82"/>
                    <w:keepNext w:val="0"/>
                    <w:keepLines w:val="0"/>
                    <w:pageBreakBefore w:val="0"/>
                    <w:kinsoku/>
                    <w:wordWrap/>
                    <w:overflowPunct/>
                    <w:topLinePunct w:val="0"/>
                    <w:bidi w:val="0"/>
                    <w:adjustRightInd w:val="0"/>
                    <w:snapToGrid w:val="0"/>
                    <w:jc w:val="center"/>
                    <w:textAlignment w:val="auto"/>
                    <w:rPr>
                      <w:rFonts w:ascii="Times New Roman" w:hAnsi="Times New Roman" w:cs="Times New Roman"/>
                      <w:bCs/>
                      <w:kern w:val="2"/>
                      <w:sz w:val="21"/>
                      <w:szCs w:val="21"/>
                      <w:u w:val="single"/>
                    </w:rPr>
                  </w:pPr>
                  <w:r>
                    <w:rPr>
                      <w:rFonts w:ascii="Times New Roman" w:hAnsi="Times New Roman" w:cs="Times New Roman"/>
                      <w:bCs/>
                      <w:kern w:val="2"/>
                      <w:sz w:val="21"/>
                      <w:szCs w:val="21"/>
                      <w:u w:val="single"/>
                    </w:rPr>
                    <w:t>超标倍数</w:t>
                  </w:r>
                </w:p>
              </w:tc>
              <w:tc>
                <w:tcPr>
                  <w:tcW w:w="517" w:type="dxa"/>
                  <w:vMerge w:val="restart"/>
                  <w:tcBorders>
                    <w:top w:val="single" w:color="auto" w:sz="4" w:space="0"/>
                    <w:left w:val="nil"/>
                    <w:bottom w:val="single" w:color="auto" w:sz="4" w:space="0"/>
                    <w:right w:val="single" w:color="auto" w:sz="4" w:space="0"/>
                  </w:tcBorders>
                  <w:vAlign w:val="center"/>
                </w:tcPr>
                <w:p>
                  <w:pPr>
                    <w:pStyle w:val="82"/>
                    <w:keepNext w:val="0"/>
                    <w:keepLines w:val="0"/>
                    <w:pageBreakBefore w:val="0"/>
                    <w:kinsoku/>
                    <w:wordWrap/>
                    <w:overflowPunct/>
                    <w:topLinePunct w:val="0"/>
                    <w:bidi w:val="0"/>
                    <w:adjustRightInd w:val="0"/>
                    <w:snapToGrid w:val="0"/>
                    <w:jc w:val="center"/>
                    <w:textAlignment w:val="auto"/>
                    <w:rPr>
                      <w:rFonts w:ascii="Times New Roman" w:hAnsi="Times New Roman" w:cs="Times New Roman"/>
                      <w:bCs/>
                      <w:kern w:val="2"/>
                      <w:sz w:val="21"/>
                      <w:szCs w:val="21"/>
                      <w:u w:val="single"/>
                    </w:rPr>
                  </w:pPr>
                  <w:r>
                    <w:rPr>
                      <w:rFonts w:ascii="Times New Roman" w:hAnsi="Times New Roman" w:cs="Times New Roman"/>
                      <w:bCs/>
                      <w:kern w:val="2"/>
                      <w:sz w:val="21"/>
                      <w:szCs w:val="21"/>
                      <w:u w:val="single"/>
                    </w:rPr>
                    <w:t>超标率</w:t>
                  </w:r>
                </w:p>
              </w:tc>
              <w:tc>
                <w:tcPr>
                  <w:tcW w:w="562" w:type="dxa"/>
                  <w:vMerge w:val="restart"/>
                  <w:tcBorders>
                    <w:top w:val="single" w:color="auto" w:sz="4" w:space="0"/>
                    <w:left w:val="nil"/>
                    <w:bottom w:val="single" w:color="auto" w:sz="4" w:space="0"/>
                    <w:right w:val="single" w:color="auto" w:sz="4" w:space="0"/>
                  </w:tcBorders>
                  <w:vAlign w:val="center"/>
                </w:tcPr>
                <w:p>
                  <w:pPr>
                    <w:pStyle w:val="82"/>
                    <w:keepNext w:val="0"/>
                    <w:keepLines w:val="0"/>
                    <w:pageBreakBefore w:val="0"/>
                    <w:kinsoku/>
                    <w:wordWrap/>
                    <w:overflowPunct/>
                    <w:topLinePunct w:val="0"/>
                    <w:bidi w:val="0"/>
                    <w:adjustRightInd w:val="0"/>
                    <w:snapToGrid w:val="0"/>
                    <w:jc w:val="center"/>
                    <w:textAlignment w:val="auto"/>
                    <w:rPr>
                      <w:rFonts w:ascii="Times New Roman" w:hAnsi="Times New Roman" w:cs="Times New Roman"/>
                      <w:bCs/>
                      <w:kern w:val="2"/>
                      <w:sz w:val="21"/>
                      <w:szCs w:val="21"/>
                      <w:u w:val="single"/>
                    </w:rPr>
                  </w:pPr>
                  <w:r>
                    <w:rPr>
                      <w:rFonts w:ascii="Times New Roman" w:hAnsi="Times New Roman" w:cs="Times New Roman"/>
                      <w:bCs/>
                      <w:kern w:val="2"/>
                      <w:sz w:val="21"/>
                      <w:szCs w:val="21"/>
                      <w:u w:val="singl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left"/>
                    <w:textAlignment w:val="auto"/>
                    <w:rPr>
                      <w:rFonts w:cs="Times New Roman"/>
                      <w:bCs/>
                      <w:sz w:val="21"/>
                      <w:szCs w:val="21"/>
                      <w:u w:val="single"/>
                    </w:rPr>
                  </w:pPr>
                </w:p>
              </w:tc>
              <w:tc>
                <w:tcPr>
                  <w:tcW w:w="652"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left"/>
                    <w:textAlignment w:val="auto"/>
                    <w:rPr>
                      <w:rFonts w:cs="Times New Roman"/>
                      <w:bCs/>
                      <w:sz w:val="21"/>
                      <w:szCs w:val="21"/>
                      <w:u w:val="single"/>
                    </w:rPr>
                  </w:pP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bCs/>
                      <w:sz w:val="21"/>
                      <w:szCs w:val="21"/>
                      <w:u w:val="single"/>
                    </w:rPr>
                  </w:pPr>
                  <w:r>
                    <w:rPr>
                      <w:rFonts w:cs="Times New Roman"/>
                      <w:sz w:val="21"/>
                      <w:szCs w:val="21"/>
                      <w:u w:val="single"/>
                    </w:rPr>
                    <w:t>8.4</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bCs/>
                      <w:sz w:val="21"/>
                      <w:szCs w:val="21"/>
                      <w:u w:val="single"/>
                    </w:rPr>
                  </w:pPr>
                  <w:r>
                    <w:rPr>
                      <w:rFonts w:cs="Times New Roman"/>
                      <w:sz w:val="21"/>
                      <w:szCs w:val="21"/>
                      <w:u w:val="single"/>
                    </w:rPr>
                    <w:t>8.5</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bCs/>
                      <w:sz w:val="21"/>
                      <w:szCs w:val="21"/>
                      <w:u w:val="single"/>
                    </w:rPr>
                  </w:pPr>
                  <w:r>
                    <w:rPr>
                      <w:rFonts w:cs="Times New Roman"/>
                      <w:sz w:val="21"/>
                      <w:szCs w:val="21"/>
                      <w:u w:val="single"/>
                    </w:rPr>
                    <w:t>8.6</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bCs/>
                      <w:sz w:val="21"/>
                      <w:szCs w:val="21"/>
                      <w:u w:val="single"/>
                    </w:rPr>
                  </w:pPr>
                  <w:r>
                    <w:rPr>
                      <w:rFonts w:cs="Times New Roman"/>
                      <w:sz w:val="21"/>
                      <w:szCs w:val="21"/>
                      <w:u w:val="single"/>
                    </w:rPr>
                    <w:t>8.7</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bCs/>
                      <w:sz w:val="21"/>
                      <w:szCs w:val="21"/>
                      <w:u w:val="single"/>
                    </w:rPr>
                  </w:pPr>
                  <w:r>
                    <w:rPr>
                      <w:rFonts w:cs="Times New Roman"/>
                      <w:sz w:val="21"/>
                      <w:szCs w:val="21"/>
                      <w:u w:val="single"/>
                    </w:rPr>
                    <w:t>8.8</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bCs/>
                      <w:sz w:val="21"/>
                      <w:szCs w:val="21"/>
                      <w:u w:val="single"/>
                    </w:rPr>
                  </w:pPr>
                  <w:r>
                    <w:rPr>
                      <w:rFonts w:cs="Times New Roman"/>
                      <w:sz w:val="21"/>
                      <w:szCs w:val="21"/>
                      <w:u w:val="single"/>
                    </w:rPr>
                    <w:t>8.9</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bCs/>
                      <w:sz w:val="21"/>
                      <w:szCs w:val="21"/>
                      <w:u w:val="single"/>
                    </w:rPr>
                  </w:pPr>
                  <w:r>
                    <w:rPr>
                      <w:rFonts w:cs="Times New Roman"/>
                      <w:sz w:val="21"/>
                      <w:szCs w:val="21"/>
                      <w:u w:val="single"/>
                    </w:rPr>
                    <w:t>8.10</w:t>
                  </w:r>
                </w:p>
              </w:tc>
              <w:tc>
                <w:tcPr>
                  <w:tcW w:w="603"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left"/>
                    <w:textAlignment w:val="auto"/>
                    <w:rPr>
                      <w:rFonts w:cs="Times New Roman"/>
                      <w:bCs/>
                      <w:color w:val="000000"/>
                      <w:kern w:val="0"/>
                      <w:sz w:val="21"/>
                      <w:szCs w:val="21"/>
                      <w:u w:val="single"/>
                    </w:rPr>
                  </w:pPr>
                </w:p>
              </w:tc>
              <w:tc>
                <w:tcPr>
                  <w:tcW w:w="562"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left"/>
                    <w:textAlignment w:val="auto"/>
                    <w:rPr>
                      <w:rFonts w:cs="Times New Roman"/>
                      <w:bCs/>
                      <w:color w:val="000000"/>
                      <w:kern w:val="0"/>
                      <w:sz w:val="21"/>
                      <w:szCs w:val="21"/>
                      <w:u w:val="single"/>
                    </w:rPr>
                  </w:pPr>
                </w:p>
              </w:tc>
              <w:tc>
                <w:tcPr>
                  <w:tcW w:w="517"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left"/>
                    <w:textAlignment w:val="auto"/>
                    <w:rPr>
                      <w:rFonts w:cs="Times New Roman"/>
                      <w:bCs/>
                      <w:color w:val="000000"/>
                      <w:kern w:val="0"/>
                      <w:sz w:val="21"/>
                      <w:szCs w:val="21"/>
                      <w:u w:val="single"/>
                    </w:rPr>
                  </w:pPr>
                </w:p>
              </w:tc>
              <w:tc>
                <w:tcPr>
                  <w:tcW w:w="562"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left"/>
                    <w:textAlignment w:val="auto"/>
                    <w:rPr>
                      <w:rFonts w:cs="Times New Roman"/>
                      <w:bCs/>
                      <w:color w:val="000000"/>
                      <w:kern w:val="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pStyle w:val="82"/>
                    <w:keepNext w:val="0"/>
                    <w:keepLines w:val="0"/>
                    <w:pageBreakBefore w:val="0"/>
                    <w:kinsoku/>
                    <w:wordWrap/>
                    <w:overflowPunct/>
                    <w:topLinePunct w:val="0"/>
                    <w:bidi w:val="0"/>
                    <w:adjustRightInd w:val="0"/>
                    <w:snapToGrid w:val="0"/>
                    <w:jc w:val="center"/>
                    <w:textAlignment w:val="auto"/>
                    <w:rPr>
                      <w:rFonts w:ascii="Times New Roman" w:hAnsi="Times New Roman" w:cs="Times New Roman"/>
                      <w:color w:val="FF0000"/>
                      <w:kern w:val="2"/>
                      <w:sz w:val="21"/>
                      <w:szCs w:val="21"/>
                      <w:u w:val="single"/>
                    </w:rPr>
                  </w:pPr>
                  <w:r>
                    <w:rPr>
                      <w:rFonts w:hint="eastAsia" w:ascii="Times New Roman" w:hAnsi="Times New Roman" w:cs="Times New Roman"/>
                      <w:kern w:val="2"/>
                      <w:sz w:val="21"/>
                      <w:szCs w:val="21"/>
                      <w:u w:val="single"/>
                    </w:rPr>
                    <w:t>本项目西北方向490m</w:t>
                  </w:r>
                </w:p>
              </w:tc>
              <w:tc>
                <w:tcPr>
                  <w:tcW w:w="652" w:type="dxa"/>
                  <w:tcBorders>
                    <w:top w:val="single" w:color="auto" w:sz="4" w:space="0"/>
                    <w:left w:val="nil"/>
                    <w:bottom w:val="single" w:color="auto" w:sz="4" w:space="0"/>
                    <w:right w:val="single" w:color="auto" w:sz="4" w:space="0"/>
                  </w:tcBorders>
                  <w:vAlign w:val="center"/>
                </w:tcPr>
                <w:p>
                  <w:pPr>
                    <w:pStyle w:val="82"/>
                    <w:keepNext w:val="0"/>
                    <w:keepLines w:val="0"/>
                    <w:pageBreakBefore w:val="0"/>
                    <w:kinsoku/>
                    <w:wordWrap/>
                    <w:overflowPunct/>
                    <w:topLinePunct w:val="0"/>
                    <w:bidi w:val="0"/>
                    <w:adjustRightInd w:val="0"/>
                    <w:snapToGrid w:val="0"/>
                    <w:jc w:val="center"/>
                    <w:textAlignment w:val="auto"/>
                    <w:rPr>
                      <w:rFonts w:ascii="Times New Roman" w:hAnsi="Times New Roman" w:cs="Times New Roman"/>
                      <w:kern w:val="2"/>
                      <w:sz w:val="21"/>
                      <w:szCs w:val="21"/>
                      <w:u w:val="single"/>
                    </w:rPr>
                  </w:pPr>
                  <w:r>
                    <w:rPr>
                      <w:rFonts w:ascii="Times New Roman" w:hAnsi="Times New Roman" w:cs="Times New Roman"/>
                      <w:kern w:val="2"/>
                      <w:sz w:val="21"/>
                      <w:szCs w:val="21"/>
                      <w:u w:val="single"/>
                    </w:rPr>
                    <w:t>总悬浮颗粒物</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0.101</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0.104</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0.096</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0.102</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0.106</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0.101</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0.108</w:t>
                  </w:r>
                </w:p>
              </w:tc>
              <w:tc>
                <w:tcPr>
                  <w:tcW w:w="60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0.3</w:t>
                  </w:r>
                </w:p>
              </w:tc>
              <w:tc>
                <w:tcPr>
                  <w:tcW w:w="56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w:t>
                  </w:r>
                </w:p>
              </w:tc>
              <w:tc>
                <w:tcPr>
                  <w:tcW w:w="51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w:t>
                  </w:r>
                </w:p>
              </w:tc>
              <w:tc>
                <w:tcPr>
                  <w:tcW w:w="56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27" w:type="dxa"/>
                  <w:tcBorders>
                    <w:top w:val="single" w:color="auto" w:sz="4" w:space="0"/>
                    <w:left w:val="single" w:color="auto" w:sz="4" w:space="0"/>
                    <w:bottom w:val="single" w:color="auto" w:sz="4" w:space="0"/>
                    <w:right w:val="single" w:color="auto" w:sz="4" w:space="0"/>
                  </w:tcBorders>
                  <w:vAlign w:val="center"/>
                </w:tcPr>
                <w:p>
                  <w:pPr>
                    <w:pStyle w:val="82"/>
                    <w:keepNext w:val="0"/>
                    <w:keepLines w:val="0"/>
                    <w:pageBreakBefore w:val="0"/>
                    <w:kinsoku/>
                    <w:wordWrap/>
                    <w:overflowPunct/>
                    <w:topLinePunct w:val="0"/>
                    <w:bidi w:val="0"/>
                    <w:adjustRightInd w:val="0"/>
                    <w:snapToGrid w:val="0"/>
                    <w:jc w:val="center"/>
                    <w:textAlignment w:val="auto"/>
                    <w:rPr>
                      <w:rFonts w:ascii="Times New Roman" w:hAnsi="Times New Roman" w:cs="Times New Roman"/>
                      <w:kern w:val="2"/>
                      <w:sz w:val="21"/>
                      <w:szCs w:val="21"/>
                      <w:u w:val="single"/>
                    </w:rPr>
                  </w:pPr>
                  <w:r>
                    <w:rPr>
                      <w:rFonts w:hint="eastAsia" w:ascii="Times New Roman" w:hAnsi="Times New Roman" w:cs="Times New Roman"/>
                      <w:kern w:val="2"/>
                      <w:sz w:val="21"/>
                      <w:szCs w:val="21"/>
                      <w:u w:val="single"/>
                    </w:rPr>
                    <w:t>本项目西北方向约615m</w:t>
                  </w:r>
                </w:p>
              </w:tc>
              <w:tc>
                <w:tcPr>
                  <w:tcW w:w="652" w:type="dxa"/>
                  <w:tcBorders>
                    <w:top w:val="single" w:color="auto" w:sz="4" w:space="0"/>
                    <w:left w:val="nil"/>
                    <w:bottom w:val="single" w:color="auto" w:sz="4" w:space="0"/>
                    <w:right w:val="single" w:color="auto" w:sz="4" w:space="0"/>
                  </w:tcBorders>
                  <w:vAlign w:val="center"/>
                </w:tcPr>
                <w:p>
                  <w:pPr>
                    <w:pStyle w:val="82"/>
                    <w:keepNext w:val="0"/>
                    <w:keepLines w:val="0"/>
                    <w:pageBreakBefore w:val="0"/>
                    <w:kinsoku/>
                    <w:wordWrap/>
                    <w:overflowPunct/>
                    <w:topLinePunct w:val="0"/>
                    <w:bidi w:val="0"/>
                    <w:adjustRightInd w:val="0"/>
                    <w:snapToGrid w:val="0"/>
                    <w:jc w:val="center"/>
                    <w:textAlignment w:val="auto"/>
                    <w:rPr>
                      <w:rFonts w:ascii="Times New Roman" w:hAnsi="Times New Roman" w:cs="Times New Roman"/>
                      <w:kern w:val="2"/>
                      <w:sz w:val="21"/>
                      <w:szCs w:val="21"/>
                      <w:u w:val="single"/>
                    </w:rPr>
                  </w:pPr>
                  <w:r>
                    <w:rPr>
                      <w:rFonts w:ascii="Times New Roman" w:hAnsi="Times New Roman" w:cs="Times New Roman"/>
                      <w:kern w:val="2"/>
                      <w:sz w:val="21"/>
                      <w:szCs w:val="21"/>
                      <w:u w:val="single"/>
                    </w:rPr>
                    <w:t>总悬浮颗粒物</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color w:val="000000"/>
                      <w:sz w:val="21"/>
                      <w:szCs w:val="21"/>
                      <w:u w:val="single"/>
                    </w:rPr>
                  </w:pPr>
                  <w:r>
                    <w:rPr>
                      <w:rFonts w:cs="Times New Roman"/>
                      <w:sz w:val="21"/>
                      <w:szCs w:val="21"/>
                      <w:u w:val="single"/>
                    </w:rPr>
                    <w:t>0.089</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color w:val="000000"/>
                      <w:sz w:val="21"/>
                      <w:szCs w:val="21"/>
                      <w:u w:val="single"/>
                    </w:rPr>
                  </w:pPr>
                  <w:r>
                    <w:rPr>
                      <w:rFonts w:cs="Times New Roman"/>
                      <w:color w:val="000000"/>
                      <w:sz w:val="21"/>
                      <w:szCs w:val="21"/>
                      <w:u w:val="single"/>
                    </w:rPr>
                    <w:t>0.094</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color w:val="000000"/>
                      <w:sz w:val="21"/>
                      <w:szCs w:val="21"/>
                      <w:u w:val="single"/>
                    </w:rPr>
                  </w:pPr>
                  <w:r>
                    <w:rPr>
                      <w:rFonts w:cs="Times New Roman"/>
                      <w:color w:val="000000"/>
                      <w:sz w:val="21"/>
                      <w:szCs w:val="21"/>
                      <w:u w:val="single"/>
                    </w:rPr>
                    <w:t>0.090</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color w:val="000000"/>
                      <w:sz w:val="21"/>
                      <w:szCs w:val="21"/>
                      <w:u w:val="single"/>
                    </w:rPr>
                  </w:pPr>
                  <w:r>
                    <w:rPr>
                      <w:rFonts w:cs="Times New Roman"/>
                      <w:color w:val="000000"/>
                      <w:sz w:val="21"/>
                      <w:szCs w:val="21"/>
                      <w:u w:val="single"/>
                    </w:rPr>
                    <w:t>0.092</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color w:val="000000"/>
                      <w:sz w:val="21"/>
                      <w:szCs w:val="21"/>
                      <w:u w:val="single"/>
                    </w:rPr>
                  </w:pPr>
                  <w:r>
                    <w:rPr>
                      <w:rFonts w:cs="Times New Roman"/>
                      <w:color w:val="000000"/>
                      <w:sz w:val="21"/>
                      <w:szCs w:val="21"/>
                      <w:u w:val="single"/>
                    </w:rPr>
                    <w:t>0.088</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color w:val="000000"/>
                      <w:sz w:val="21"/>
                      <w:szCs w:val="21"/>
                      <w:u w:val="single"/>
                    </w:rPr>
                  </w:pPr>
                  <w:r>
                    <w:rPr>
                      <w:rFonts w:cs="Times New Roman"/>
                      <w:color w:val="000000"/>
                      <w:sz w:val="21"/>
                      <w:szCs w:val="21"/>
                      <w:u w:val="single"/>
                    </w:rPr>
                    <w:t>0.093</w:t>
                  </w:r>
                </w:p>
              </w:tc>
              <w:tc>
                <w:tcPr>
                  <w:tcW w:w="689"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bidi w:val="0"/>
                    <w:adjustRightInd w:val="0"/>
                    <w:snapToGrid w:val="0"/>
                    <w:jc w:val="center"/>
                    <w:textAlignment w:val="auto"/>
                    <w:rPr>
                      <w:rFonts w:cs="Times New Roman"/>
                      <w:color w:val="000000"/>
                      <w:sz w:val="21"/>
                      <w:szCs w:val="21"/>
                      <w:u w:val="single"/>
                    </w:rPr>
                  </w:pPr>
                  <w:r>
                    <w:rPr>
                      <w:rFonts w:cs="Times New Roman"/>
                      <w:color w:val="000000"/>
                      <w:sz w:val="21"/>
                      <w:szCs w:val="21"/>
                      <w:u w:val="single"/>
                    </w:rPr>
                    <w:t>0.092</w:t>
                  </w:r>
                </w:p>
              </w:tc>
              <w:tc>
                <w:tcPr>
                  <w:tcW w:w="60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color w:val="000000"/>
                      <w:sz w:val="21"/>
                      <w:szCs w:val="21"/>
                      <w:u w:val="single"/>
                    </w:rPr>
                  </w:pPr>
                  <w:r>
                    <w:rPr>
                      <w:rFonts w:cs="Times New Roman"/>
                      <w:sz w:val="21"/>
                      <w:szCs w:val="21"/>
                      <w:u w:val="single"/>
                    </w:rPr>
                    <w:t>0.3</w:t>
                  </w:r>
                </w:p>
              </w:tc>
              <w:tc>
                <w:tcPr>
                  <w:tcW w:w="56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w:t>
                  </w:r>
                </w:p>
              </w:tc>
              <w:tc>
                <w:tcPr>
                  <w:tcW w:w="51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0</w:t>
                  </w:r>
                </w:p>
              </w:tc>
              <w:tc>
                <w:tcPr>
                  <w:tcW w:w="56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jc w:val="center"/>
                    <w:textAlignment w:val="auto"/>
                    <w:rPr>
                      <w:rFonts w:cs="Times New Roman"/>
                      <w:sz w:val="21"/>
                      <w:szCs w:val="21"/>
                      <w:u w:val="single"/>
                    </w:rPr>
                  </w:pPr>
                  <w:r>
                    <w:rPr>
                      <w:rFonts w:cs="Times New Roman"/>
                      <w:sz w:val="21"/>
                      <w:szCs w:val="21"/>
                      <w:u w:val="single"/>
                    </w:rPr>
                    <w:t>达标</w:t>
                  </w:r>
                </w:p>
              </w:tc>
            </w:tr>
          </w:tbl>
          <w:p>
            <w:pPr>
              <w:keepNext/>
              <w:adjustRightInd w:val="0"/>
              <w:snapToGrid w:val="0"/>
              <w:spacing w:line="360" w:lineRule="auto"/>
              <w:ind w:firstLine="480" w:firstLineChars="200"/>
              <w:rPr>
                <w:rFonts w:cs="Times New Roman"/>
                <w:color w:val="000000" w:themeColor="text1"/>
              </w:rPr>
            </w:pPr>
            <w:r>
              <w:rPr>
                <w:rFonts w:cs="Times New Roman"/>
                <w:color w:val="000000" w:themeColor="text1"/>
              </w:rPr>
              <w:t>由上表可知，总悬浮颗粒物浓度符合《环境空气质量标准》（GB3095-2012）表2限值要求。</w:t>
            </w:r>
          </w:p>
          <w:p>
            <w:pPr>
              <w:pStyle w:val="7"/>
              <w:rPr>
                <w:rFonts w:cs="Times New Roman" w:eastAsiaTheme="minorEastAsia"/>
                <w:color w:val="000000" w:themeColor="text1"/>
              </w:rPr>
            </w:pPr>
            <w:r>
              <w:rPr>
                <w:rFonts w:cs="Times New Roman" w:eastAsiaTheme="minorEastAsia"/>
                <w:color w:val="000000" w:themeColor="text1"/>
              </w:rPr>
              <w:t>地表水环境现状监测与评价</w:t>
            </w:r>
          </w:p>
          <w:p>
            <w:pPr>
              <w:widowControl/>
              <w:snapToGrid w:val="0"/>
              <w:spacing w:line="360" w:lineRule="auto"/>
              <w:ind w:firstLine="480" w:firstLineChars="200"/>
              <w:jc w:val="left"/>
            </w:pPr>
            <w:r>
              <w:rPr>
                <w:rFonts w:hint="default" w:ascii="Times New Roman" w:hAnsi="Times New Roman" w:cs="Times New Roman"/>
                <w:szCs w:val="24"/>
              </w:rPr>
              <w:t>本项目废水主要为生产废水及生活废水，生产废水经沉淀池沉淀处理后循环使用不外排；生活废水经隔油池及化粪池处理后通过市政管网进入湖南城陵矶临港产业新区污水处理厂</w:t>
            </w:r>
            <w:r>
              <w:rPr>
                <w:rFonts w:hint="default" w:ascii="Times New Roman" w:hAnsi="Times New Roman" w:cs="Times New Roman"/>
                <w:szCs w:val="24"/>
                <w:lang w:eastAsia="zh-CN"/>
              </w:rPr>
              <w:t>深度处理，达标后排入象骨港渠，通过象骨港电排站外排长江城陵矶段</w:t>
            </w:r>
            <w:r>
              <w:rPr>
                <w:rFonts w:hint="default" w:ascii="Times New Roman" w:hAnsi="Times New Roman" w:cs="Times New Roman"/>
                <w:szCs w:val="24"/>
              </w:rPr>
              <w:t>。本次评价收集了岳阳市环境监测站2019年1月及</w:t>
            </w:r>
            <w:r>
              <w:rPr>
                <w:rFonts w:hint="default" w:ascii="Times New Roman" w:hAnsi="Times New Roman" w:eastAsia="宋体" w:cs="Times New Roman"/>
                <w:szCs w:val="24"/>
                <w:lang w:val="en-US" w:eastAsia="zh-CN"/>
              </w:rPr>
              <w:t>12</w:t>
            </w:r>
            <w:r>
              <w:rPr>
                <w:rFonts w:hint="default" w:ascii="Times New Roman" w:hAnsi="Times New Roman" w:cs="Times New Roman"/>
                <w:szCs w:val="24"/>
              </w:rPr>
              <w:t>月对长江道仁矶断面以及松阳湖进行的地表水环境常规监测的数据</w:t>
            </w:r>
            <w:r>
              <w:rPr>
                <w:rFonts w:hint="default" w:ascii="Times New Roman" w:hAnsi="Times New Roman" w:cs="Times New Roman"/>
                <w:kern w:val="0"/>
              </w:rPr>
              <w:t>。</w:t>
            </w:r>
          </w:p>
          <w:p>
            <w:pPr>
              <w:jc w:val="center"/>
              <w:rPr>
                <w:rFonts w:cs="Times New Roman"/>
                <w:b/>
              </w:rPr>
            </w:pPr>
          </w:p>
          <w:p>
            <w:pPr>
              <w:keepNext/>
              <w:tabs>
                <w:tab w:val="left" w:pos="5775"/>
              </w:tabs>
              <w:spacing w:line="360" w:lineRule="auto"/>
              <w:rPr>
                <w:rFonts w:cs="Times New Roman"/>
              </w:rPr>
            </w:pPr>
            <w:r>
              <w:rPr>
                <w:rFonts w:cs="Times New Roman"/>
              </w:rPr>
              <w:tab/>
            </w:r>
          </w:p>
        </w:tc>
      </w:tr>
    </w:tbl>
    <w:p>
      <w:pPr>
        <w:keepNext/>
        <w:tabs>
          <w:tab w:val="left" w:pos="5775"/>
        </w:tabs>
        <w:spacing w:line="360" w:lineRule="auto"/>
        <w:rPr>
          <w:rFonts w:cs="Times New Roman"/>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33"/>
        <w:tblW w:w="5009" w:type="pct"/>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0" w:hRule="atLeast"/>
        </w:trPr>
        <w:tc>
          <w:tcPr>
            <w:tcW w:w="5000" w:type="pct"/>
          </w:tcPr>
          <w:p>
            <w:pPr>
              <w:pStyle w:val="142"/>
              <w:keepNext/>
              <w:ind w:firstLine="480" w:firstLineChars="200"/>
              <w:rPr>
                <w:rFonts w:eastAsiaTheme="minorEastAsia"/>
                <w:bCs/>
                <w:sz w:val="24"/>
                <w:szCs w:val="24"/>
              </w:rPr>
            </w:pPr>
            <w:r>
              <w:rPr>
                <w:rFonts w:hint="eastAsia" w:eastAsiaTheme="minorEastAsia"/>
                <w:bCs/>
                <w:sz w:val="24"/>
                <w:szCs w:val="24"/>
              </w:rPr>
              <w:t>（1）长江常规监测断面</w:t>
            </w:r>
          </w:p>
          <w:p>
            <w:pPr>
              <w:pStyle w:val="142"/>
              <w:keepNext/>
              <w:keepLines w:val="0"/>
              <w:pageBreakBefore w:val="0"/>
              <w:widowControl/>
              <w:kinsoku/>
              <w:wordWrap/>
              <w:overflowPunct/>
              <w:topLinePunct w:val="0"/>
              <w:autoSpaceDE/>
              <w:autoSpaceDN/>
              <w:bidi w:val="0"/>
              <w:adjustRightInd/>
              <w:snapToGrid/>
              <w:ind w:firstLine="422" w:firstLineChars="200"/>
              <w:jc w:val="center"/>
              <w:textAlignment w:val="auto"/>
              <w:rPr>
                <w:rFonts w:eastAsiaTheme="minorEastAsia"/>
                <w:b/>
              </w:rPr>
            </w:pPr>
            <w:r>
              <w:rPr>
                <w:rFonts w:eastAsiaTheme="minorEastAsia"/>
                <w:b/>
              </w:rPr>
              <w:t>表</w:t>
            </w:r>
            <w:r>
              <w:rPr>
                <w:rFonts w:eastAsiaTheme="minorEastAsia"/>
                <w:b/>
              </w:rPr>
              <w:fldChar w:fldCharType="begin"/>
            </w:r>
            <w:r>
              <w:rPr>
                <w:rFonts w:eastAsiaTheme="minorEastAsia"/>
                <w:b/>
              </w:rPr>
              <w:instrText xml:space="preserve"> STYLEREF 2 \s </w:instrText>
            </w:r>
            <w:r>
              <w:rPr>
                <w:rFonts w:eastAsiaTheme="minorEastAsia"/>
                <w:b/>
              </w:rPr>
              <w:fldChar w:fldCharType="separate"/>
            </w:r>
            <w:r>
              <w:rPr>
                <w:rFonts w:eastAsiaTheme="minorEastAsia"/>
                <w:b/>
              </w:rPr>
              <w:t>3.2</w:t>
            </w:r>
            <w:r>
              <w:rPr>
                <w:rFonts w:eastAsiaTheme="minorEastAsia"/>
                <w:b/>
              </w:rPr>
              <w:fldChar w:fldCharType="end"/>
            </w:r>
            <w:r>
              <w:rPr>
                <w:rFonts w:eastAsiaTheme="minorEastAsia"/>
                <w:b/>
              </w:rPr>
              <w:noBreakHyphen/>
            </w:r>
            <w:r>
              <w:rPr>
                <w:rFonts w:eastAsiaTheme="minorEastAsia"/>
                <w:b/>
              </w:rPr>
              <w:fldChar w:fldCharType="begin"/>
            </w:r>
            <w:r>
              <w:rPr>
                <w:rFonts w:eastAsiaTheme="minorEastAsia"/>
                <w:b/>
              </w:rPr>
              <w:instrText xml:space="preserve"> SEQ 表 \* ARABIC \s 2 </w:instrText>
            </w:r>
            <w:r>
              <w:rPr>
                <w:rFonts w:eastAsiaTheme="minorEastAsia"/>
                <w:b/>
              </w:rPr>
              <w:fldChar w:fldCharType="separate"/>
            </w:r>
            <w:r>
              <w:rPr>
                <w:rFonts w:eastAsiaTheme="minorEastAsia"/>
                <w:b/>
              </w:rPr>
              <w:t>3</w:t>
            </w:r>
            <w:r>
              <w:rPr>
                <w:rFonts w:eastAsiaTheme="minorEastAsia"/>
                <w:b/>
              </w:rPr>
              <w:fldChar w:fldCharType="end"/>
            </w:r>
            <w:r>
              <w:rPr>
                <w:rFonts w:eastAsiaTheme="minorEastAsia"/>
                <w:b/>
              </w:rPr>
              <w:t xml:space="preserve">  </w:t>
            </w:r>
            <w:r>
              <w:rPr>
                <w:rFonts w:hint="eastAsia" w:eastAsiaTheme="minorEastAsia"/>
                <w:b/>
              </w:rPr>
              <w:t>地表</w:t>
            </w:r>
            <w:r>
              <w:rPr>
                <w:rFonts w:eastAsiaTheme="minorEastAsia"/>
                <w:b/>
              </w:rPr>
              <w:t>水环境现状统计监测结果</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495"/>
              <w:gridCol w:w="754"/>
              <w:gridCol w:w="1131"/>
              <w:gridCol w:w="754"/>
              <w:gridCol w:w="754"/>
              <w:gridCol w:w="859"/>
              <w:gridCol w:w="754"/>
              <w:gridCol w:w="1174"/>
              <w:gridCol w:w="1069"/>
              <w:gridCol w:w="859"/>
              <w:gridCol w:w="1069"/>
              <w:gridCol w:w="520"/>
              <w:gridCol w:w="859"/>
              <w:gridCol w:w="590"/>
              <w:gridCol w:w="1249"/>
              <w:gridCol w:w="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1061" w:type="dxa"/>
                  <w:gridSpan w:val="2"/>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指标</w:t>
                  </w:r>
                </w:p>
              </w:tc>
              <w:tc>
                <w:tcPr>
                  <w:tcW w:w="754"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pH</w:t>
                  </w:r>
                </w:p>
              </w:tc>
              <w:tc>
                <w:tcPr>
                  <w:tcW w:w="1131"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高锰酸盐指数</w:t>
                  </w:r>
                </w:p>
              </w:tc>
              <w:tc>
                <w:tcPr>
                  <w:tcW w:w="754"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COD</w:t>
                  </w:r>
                </w:p>
              </w:tc>
              <w:tc>
                <w:tcPr>
                  <w:tcW w:w="754"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position w:val="2"/>
                      <w:sz w:val="21"/>
                      <w:szCs w:val="21"/>
                      <w:u w:val="single"/>
                    </w:rPr>
                    <w:t>BOD</w:t>
                  </w:r>
                  <w:r>
                    <w:rPr>
                      <w:rFonts w:hint="default" w:ascii="Times New Roman" w:hAnsi="Times New Roman" w:eastAsia="宋体" w:cs="Times New Roman"/>
                      <w:b w:val="0"/>
                      <w:bCs/>
                      <w:position w:val="2"/>
                      <w:sz w:val="21"/>
                      <w:szCs w:val="21"/>
                      <w:u w:val="single"/>
                      <w:vertAlign w:val="subscript"/>
                    </w:rPr>
                    <w:t>5</w:t>
                  </w:r>
                </w:p>
              </w:tc>
              <w:tc>
                <w:tcPr>
                  <w:tcW w:w="859"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position w:val="2"/>
                      <w:sz w:val="21"/>
                      <w:szCs w:val="21"/>
                      <w:u w:val="single"/>
                    </w:rPr>
                    <w:t>NH</w:t>
                  </w:r>
                  <w:r>
                    <w:rPr>
                      <w:rFonts w:hint="default" w:ascii="Times New Roman" w:hAnsi="Times New Roman" w:eastAsia="宋体" w:cs="Times New Roman"/>
                      <w:b w:val="0"/>
                      <w:bCs/>
                      <w:position w:val="2"/>
                      <w:sz w:val="21"/>
                      <w:szCs w:val="21"/>
                      <w:u w:val="single"/>
                      <w:vertAlign w:val="subscript"/>
                    </w:rPr>
                    <w:t>3</w:t>
                  </w:r>
                  <w:r>
                    <w:rPr>
                      <w:rFonts w:hint="default" w:ascii="Times New Roman" w:hAnsi="Times New Roman" w:eastAsia="宋体" w:cs="Times New Roman"/>
                      <w:b w:val="0"/>
                      <w:bCs/>
                      <w:position w:val="2"/>
                      <w:sz w:val="21"/>
                      <w:szCs w:val="21"/>
                      <w:u w:val="single"/>
                      <w:vertAlign w:val="baseline"/>
                    </w:rPr>
                    <w:t>-N</w:t>
                  </w:r>
                </w:p>
              </w:tc>
              <w:tc>
                <w:tcPr>
                  <w:tcW w:w="754"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TP</w:t>
                  </w:r>
                </w:p>
              </w:tc>
              <w:tc>
                <w:tcPr>
                  <w:tcW w:w="1174"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cs="Times New Roman"/>
                      <w:b w:val="0"/>
                      <w:bCs/>
                      <w:sz w:val="21"/>
                      <w:szCs w:val="21"/>
                      <w:u w:val="single"/>
                      <w:lang w:val="en-US" w:eastAsia="zh-CN"/>
                    </w:rPr>
                    <w:t xml:space="preserve"> </w:t>
                  </w:r>
                  <w:r>
                    <w:rPr>
                      <w:rFonts w:hint="default" w:ascii="Times New Roman" w:hAnsi="Times New Roman" w:eastAsia="宋体" w:cs="Times New Roman"/>
                      <w:b w:val="0"/>
                      <w:bCs/>
                      <w:sz w:val="21"/>
                      <w:szCs w:val="21"/>
                      <w:u w:val="single"/>
                    </w:rPr>
                    <w:t>铜</w:t>
                  </w:r>
                </w:p>
              </w:tc>
              <w:tc>
                <w:tcPr>
                  <w:tcW w:w="1069"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cs="Times New Roman"/>
                      <w:b w:val="0"/>
                      <w:bCs/>
                      <w:sz w:val="21"/>
                      <w:szCs w:val="21"/>
                      <w:u w:val="single"/>
                      <w:lang w:val="en-US" w:eastAsia="zh-CN"/>
                    </w:rPr>
                    <w:t xml:space="preserve"> </w:t>
                  </w:r>
                  <w:r>
                    <w:rPr>
                      <w:rFonts w:hint="default" w:ascii="Times New Roman" w:hAnsi="Times New Roman" w:eastAsia="宋体" w:cs="Times New Roman"/>
                      <w:b w:val="0"/>
                      <w:bCs/>
                      <w:sz w:val="21"/>
                      <w:szCs w:val="21"/>
                      <w:u w:val="single"/>
                    </w:rPr>
                    <w:t>锌</w:t>
                  </w:r>
                </w:p>
              </w:tc>
              <w:tc>
                <w:tcPr>
                  <w:tcW w:w="859"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硒</w:t>
                  </w:r>
                </w:p>
              </w:tc>
              <w:tc>
                <w:tcPr>
                  <w:tcW w:w="1069"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砷</w:t>
                  </w:r>
                </w:p>
              </w:tc>
              <w:tc>
                <w:tcPr>
                  <w:tcW w:w="520"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六价铬</w:t>
                  </w:r>
                </w:p>
              </w:tc>
              <w:tc>
                <w:tcPr>
                  <w:tcW w:w="859"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挥发酚</w:t>
                  </w:r>
                </w:p>
              </w:tc>
              <w:tc>
                <w:tcPr>
                  <w:tcW w:w="590"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石油类</w:t>
                  </w:r>
                </w:p>
              </w:tc>
              <w:tc>
                <w:tcPr>
                  <w:tcW w:w="1249"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阴离子表面活性剂</w:t>
                  </w:r>
                </w:p>
              </w:tc>
              <w:tc>
                <w:tcPr>
                  <w:tcW w:w="518"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4"/>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sz w:val="21"/>
                      <w:szCs w:val="21"/>
                      <w:u w:val="single"/>
                    </w:rPr>
                    <w:t>硫化物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566" w:type="dxa"/>
                  <w:vMerge w:val="restart"/>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2019</w:t>
                  </w: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rPr>
                  </w:pPr>
                  <w:r>
                    <w:rPr>
                      <w:rFonts w:hint="default" w:ascii="Times New Roman" w:hAnsi="Times New Roman" w:eastAsia="宋体" w:cs="Times New Roman"/>
                      <w:b w:val="0"/>
                      <w:bCs/>
                      <w:w w:val="99"/>
                      <w:sz w:val="21"/>
                      <w:szCs w:val="21"/>
                      <w:u w:val="single"/>
                    </w:rPr>
                    <w:t>年</w:t>
                  </w:r>
                </w:p>
              </w:tc>
              <w:tc>
                <w:tcPr>
                  <w:tcW w:w="495"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1月</w:t>
                  </w:r>
                </w:p>
              </w:tc>
              <w:tc>
                <w:tcPr>
                  <w:tcW w:w="754"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8.03</w:t>
                  </w:r>
                </w:p>
              </w:tc>
              <w:tc>
                <w:tcPr>
                  <w:tcW w:w="1131"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1.7</w:t>
                  </w:r>
                </w:p>
              </w:tc>
              <w:tc>
                <w:tcPr>
                  <w:tcW w:w="754"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6</w:t>
                  </w:r>
                </w:p>
              </w:tc>
              <w:tc>
                <w:tcPr>
                  <w:tcW w:w="754"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0.7</w:t>
                  </w:r>
                </w:p>
              </w:tc>
              <w:tc>
                <w:tcPr>
                  <w:tcW w:w="859"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0.23</w:t>
                  </w:r>
                </w:p>
              </w:tc>
              <w:tc>
                <w:tcPr>
                  <w:tcW w:w="754"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0.12</w:t>
                  </w:r>
                </w:p>
              </w:tc>
              <w:tc>
                <w:tcPr>
                  <w:tcW w:w="1174"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0.02000</w:t>
                  </w:r>
                </w:p>
              </w:tc>
              <w:tc>
                <w:tcPr>
                  <w:tcW w:w="1069"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0.0040</w:t>
                  </w:r>
                </w:p>
              </w:tc>
              <w:tc>
                <w:tcPr>
                  <w:tcW w:w="859"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0.0019</w:t>
                  </w:r>
                </w:p>
              </w:tc>
              <w:tc>
                <w:tcPr>
                  <w:tcW w:w="520"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0.0006</w:t>
                  </w:r>
                </w:p>
              </w:tc>
              <w:tc>
                <w:tcPr>
                  <w:tcW w:w="590"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0.04</w:t>
                  </w:r>
                </w:p>
              </w:tc>
              <w:tc>
                <w:tcPr>
                  <w:tcW w:w="518"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2月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8.08</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1.5</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2.5</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0.22</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0.05</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0.00400</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0.0200</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0.0003</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0.0039</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3月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8.08</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1.4</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0.7</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0.09</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0.10</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0.00300</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0.0020</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0.0010</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4月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8.28</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1.4</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5</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0.8</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0.04</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0.09</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0.00300</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0.0020</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0.0013</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0.0004</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5月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8.25</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1.8</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0.18</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0.12</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0.00256</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0.0042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0.0005</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6月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8.17</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2.2</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0.16</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0.08</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0.00700</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0.0250</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0.0028</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0.0004</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7月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7.79</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2.3</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11</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0.5</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0.07</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0.06</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0.00300</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0.0040</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0.0019</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0.0006</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8月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7.76</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2.6</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0.9</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0.09</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0.10</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0.00300</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0.0020</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0.0016</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0.0003</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9月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7.91</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2.3</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7</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0.14</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0.07</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0.00200</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0.0250</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0.0009</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10月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8.01</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2.4</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4L</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0.7</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0.08</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0.00400</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0.0250</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0.0008</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11月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7.60</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2.7</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0.08</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0.00200</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0.0250</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0.0006</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566"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p>
              </w:tc>
              <w:tc>
                <w:tcPr>
                  <w:tcW w:w="4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12月</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8.08</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4</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0.05</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0.08</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0.00155</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0.0004</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0.0002</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both"/>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61" w:type="dxa"/>
                  <w:gridSpan w:val="2"/>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eastAsia="zh-CN"/>
                    </w:rPr>
                    <w:t>执行标准</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6~9</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≤6</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≤20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≤4</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≤0.2</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≤1</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≤0.01</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≤0.05</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≤0.05</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≤0.005</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≤0.05</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≤0.2</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61" w:type="dxa"/>
                  <w:gridSpan w:val="2"/>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lang w:eastAsia="zh-CN"/>
                    </w:rPr>
                  </w:pPr>
                  <w:r>
                    <w:rPr>
                      <w:rFonts w:hint="default" w:ascii="Times New Roman" w:hAnsi="Times New Roman" w:cs="Times New Roman"/>
                      <w:b w:val="0"/>
                      <w:bCs/>
                      <w:sz w:val="21"/>
                      <w:szCs w:val="21"/>
                      <w:u w:val="single"/>
                      <w:lang w:eastAsia="zh-CN"/>
                    </w:rPr>
                    <w:t>标准指数</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0.3~0.64</w:t>
                  </w:r>
                </w:p>
              </w:tc>
              <w:tc>
                <w:tcPr>
                  <w:tcW w:w="1131"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0.23~0.45</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0.1~0.55</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0.05~0.6</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0.09~0.23</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0.35~0.6</w:t>
                  </w:r>
                </w:p>
              </w:tc>
              <w:tc>
                <w:tcPr>
                  <w:tcW w:w="117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rPr>
                    <w:t>0.00256</w:t>
                  </w:r>
                  <w:r>
                    <w:rPr>
                      <w:rFonts w:hint="default" w:ascii="Times New Roman" w:hAnsi="Times New Roman" w:cs="Times New Roman"/>
                      <w:b w:val="0"/>
                      <w:bCs/>
                      <w:sz w:val="21"/>
                      <w:szCs w:val="21"/>
                      <w:u w:val="single"/>
                      <w:lang w:val="en-US" w:eastAsia="zh-CN"/>
                    </w:rPr>
                    <w:t>~0.02</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rPr>
                    <w:t>0.0004</w:t>
                  </w:r>
                  <w:r>
                    <w:rPr>
                      <w:rFonts w:hint="default" w:ascii="Times New Roman" w:hAnsi="Times New Roman" w:cs="Times New Roman"/>
                      <w:b w:val="0"/>
                      <w:bCs/>
                      <w:sz w:val="21"/>
                      <w:szCs w:val="21"/>
                      <w:u w:val="single"/>
                      <w:lang w:val="en-US" w:eastAsia="zh-CN"/>
                    </w:rPr>
                    <w:t>~</w:t>
                  </w:r>
                  <w:r>
                    <w:rPr>
                      <w:rFonts w:hint="default" w:ascii="Times New Roman" w:hAnsi="Times New Roman" w:cs="Times New Roman"/>
                      <w:b w:val="0"/>
                      <w:bCs/>
                      <w:sz w:val="21"/>
                      <w:szCs w:val="21"/>
                      <w:u w:val="single"/>
                    </w:rPr>
                    <w:t>0.02</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0.02~0.05</w:t>
                  </w:r>
                </w:p>
              </w:tc>
              <w:tc>
                <w:tcPr>
                  <w:tcW w:w="106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0.004~0.056</w:t>
                  </w:r>
                </w:p>
              </w:tc>
              <w:tc>
                <w:tcPr>
                  <w:tcW w:w="520"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0.04</w:t>
                  </w:r>
                </w:p>
              </w:tc>
              <w:tc>
                <w:tcPr>
                  <w:tcW w:w="85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0.04~0.12</w:t>
                  </w:r>
                </w:p>
              </w:tc>
              <w:tc>
                <w:tcPr>
                  <w:tcW w:w="590"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w:t>
                  </w:r>
                </w:p>
              </w:tc>
              <w:tc>
                <w:tcPr>
                  <w:tcW w:w="1249"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w:t>
                  </w:r>
                </w:p>
              </w:tc>
              <w:tc>
                <w:tcPr>
                  <w:tcW w:w="5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61" w:type="dxa"/>
                  <w:gridSpan w:val="2"/>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lang w:eastAsia="zh-CN"/>
                    </w:rPr>
                  </w:pPr>
                  <w:r>
                    <w:rPr>
                      <w:rFonts w:hint="default" w:ascii="Times New Roman" w:hAnsi="Times New Roman" w:cs="Times New Roman"/>
                      <w:b w:val="0"/>
                      <w:bCs/>
                      <w:sz w:val="21"/>
                      <w:szCs w:val="21"/>
                      <w:u w:val="single"/>
                      <w:lang w:eastAsia="zh-CN"/>
                    </w:rPr>
                    <w:t>超标率</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w:t>
                  </w:r>
                </w:p>
              </w:tc>
              <w:tc>
                <w:tcPr>
                  <w:tcW w:w="113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75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75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85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75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117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106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85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106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520"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85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590"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124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518"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61" w:type="dxa"/>
                  <w:gridSpan w:val="2"/>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lang w:eastAsia="zh-CN"/>
                    </w:rPr>
                  </w:pPr>
                  <w:r>
                    <w:rPr>
                      <w:rFonts w:hint="default" w:ascii="Times New Roman" w:hAnsi="Times New Roman" w:cs="Times New Roman"/>
                      <w:b w:val="0"/>
                      <w:bCs/>
                      <w:sz w:val="21"/>
                      <w:szCs w:val="21"/>
                      <w:u w:val="single"/>
                      <w:lang w:eastAsia="zh-CN"/>
                    </w:rPr>
                    <w:t>最大超标倍数</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w:t>
                  </w:r>
                </w:p>
              </w:tc>
              <w:tc>
                <w:tcPr>
                  <w:tcW w:w="113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75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75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85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75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117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106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85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106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520"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85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590"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1249"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c>
                <w:tcPr>
                  <w:tcW w:w="518"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61" w:type="dxa"/>
                  <w:gridSpan w:val="2"/>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lang w:eastAsia="zh-CN"/>
                    </w:rPr>
                  </w:pPr>
                  <w:r>
                    <w:rPr>
                      <w:rFonts w:hint="default" w:ascii="Times New Roman" w:hAnsi="Times New Roman" w:cs="Times New Roman"/>
                      <w:b w:val="0"/>
                      <w:bCs/>
                      <w:sz w:val="21"/>
                      <w:szCs w:val="21"/>
                      <w:u w:val="single"/>
                      <w:lang w:eastAsia="zh-CN"/>
                    </w:rPr>
                    <w:t>是否达标</w:t>
                  </w:r>
                </w:p>
              </w:tc>
              <w:tc>
                <w:tcPr>
                  <w:tcW w:w="754" w:type="dxa"/>
                  <w:tcBorders>
                    <w:top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sz w:val="21"/>
                      <w:szCs w:val="21"/>
                      <w:u w:val="single"/>
                      <w:lang w:eastAsia="zh-CN"/>
                    </w:rPr>
                  </w:pPr>
                  <w:r>
                    <w:rPr>
                      <w:rFonts w:hint="default" w:ascii="Times New Roman" w:hAnsi="Times New Roman" w:cs="Times New Roman"/>
                      <w:b w:val="0"/>
                      <w:bCs/>
                      <w:sz w:val="21"/>
                      <w:szCs w:val="21"/>
                      <w:u w:val="single"/>
                      <w:lang w:eastAsia="zh-CN"/>
                    </w:rPr>
                    <w:t>达标</w:t>
                  </w:r>
                </w:p>
              </w:tc>
              <w:tc>
                <w:tcPr>
                  <w:tcW w:w="1131"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754"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754"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859"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754"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1174"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1069"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859"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1069"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520"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859"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590"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1249"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c>
                <w:tcPr>
                  <w:tcW w:w="518" w:type="dxa"/>
                  <w:tcBorders>
                    <w:top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0" w:leftChars="0" w:right="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lang w:eastAsia="zh-CN"/>
                    </w:rPr>
                    <w:t>达标</w:t>
                  </w:r>
                </w:p>
              </w:tc>
            </w:tr>
          </w:tbl>
          <w:p>
            <w:pPr>
              <w:pStyle w:val="142"/>
              <w:keepNext/>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Calibri" w:cs="Times New Roman"/>
                <w:b w:val="0"/>
                <w:bCs/>
                <w:color w:val="000000"/>
                <w:sz w:val="24"/>
                <w:szCs w:val="24"/>
                <w:u w:val="none"/>
                <w:lang w:val="en-US" w:eastAsia="zh-CN"/>
              </w:rPr>
            </w:pPr>
            <w:r>
              <w:rPr>
                <w:rFonts w:hint="default" w:ascii="Times New Roman" w:hAnsi="Times New Roman" w:cs="Times New Roman"/>
                <w:b w:val="0"/>
                <w:bCs/>
                <w:color w:val="000000"/>
                <w:sz w:val="24"/>
                <w:szCs w:val="24"/>
                <w:u w:val="none"/>
                <w:lang w:val="en-US" w:eastAsia="zh-CN"/>
              </w:rPr>
              <w:t>根据监测结果可知，监测因子能满足《地表水环境质量标准》（GB3838-2002）中的</w:t>
            </w:r>
            <w:r>
              <w:rPr>
                <w:rFonts w:hint="default" w:ascii="Times New Roman" w:hAnsi="Times New Roman" w:eastAsia="宋体" w:cs="Times New Roman"/>
                <w:b w:val="0"/>
                <w:bCs/>
                <w:color w:val="000000"/>
                <w:sz w:val="24"/>
                <w:szCs w:val="24"/>
                <w:u w:val="none"/>
                <w:lang w:val="en-US" w:eastAsia="zh-CN"/>
              </w:rPr>
              <w:t>Ⅲ</w:t>
            </w:r>
            <w:r>
              <w:rPr>
                <w:rFonts w:hint="default" w:ascii="Times New Roman" w:hAnsi="Times New Roman" w:cs="Times New Roman"/>
                <w:b w:val="0"/>
                <w:bCs/>
                <w:color w:val="000000"/>
                <w:sz w:val="24"/>
                <w:szCs w:val="24"/>
                <w:u w:val="none"/>
                <w:lang w:val="en-US" w:eastAsia="zh-CN"/>
              </w:rPr>
              <w:t>类标准要求。</w:t>
            </w:r>
          </w:p>
          <w:p>
            <w:pPr>
              <w:pStyle w:val="142"/>
              <w:keepNext/>
              <w:adjustRightInd w:val="0"/>
              <w:snapToGrid w:val="0"/>
              <w:spacing w:line="360" w:lineRule="auto"/>
              <w:ind w:firstLine="480" w:firstLineChars="200"/>
              <w:rPr>
                <w:rFonts w:hint="eastAsia" w:eastAsiaTheme="minorEastAsia"/>
                <w:bCs/>
                <w:sz w:val="24"/>
                <w:szCs w:val="24"/>
              </w:rPr>
            </w:pPr>
          </w:p>
          <w:p>
            <w:pPr>
              <w:pStyle w:val="142"/>
              <w:keepNext/>
              <w:adjustRightInd w:val="0"/>
              <w:snapToGrid w:val="0"/>
              <w:spacing w:line="360" w:lineRule="auto"/>
              <w:ind w:firstLine="480" w:firstLineChars="200"/>
              <w:rPr>
                <w:rFonts w:hint="eastAsia" w:eastAsiaTheme="minorEastAsia"/>
                <w:bCs/>
                <w:sz w:val="24"/>
                <w:szCs w:val="24"/>
              </w:rPr>
            </w:pPr>
          </w:p>
          <w:p>
            <w:pPr>
              <w:pStyle w:val="142"/>
              <w:keepNext/>
              <w:adjustRightInd w:val="0"/>
              <w:snapToGrid w:val="0"/>
              <w:spacing w:line="360" w:lineRule="auto"/>
              <w:ind w:firstLine="480" w:firstLineChars="200"/>
              <w:rPr>
                <w:rFonts w:hint="eastAsia" w:eastAsiaTheme="minorEastAsia"/>
                <w:bCs/>
                <w:sz w:val="24"/>
                <w:szCs w:val="24"/>
              </w:rPr>
            </w:pPr>
          </w:p>
          <w:p>
            <w:pPr>
              <w:pStyle w:val="142"/>
              <w:keepNext/>
              <w:adjustRightInd w:val="0"/>
              <w:snapToGrid w:val="0"/>
              <w:spacing w:line="360" w:lineRule="auto"/>
              <w:ind w:firstLine="480" w:firstLineChars="200"/>
              <w:rPr>
                <w:rFonts w:hint="eastAsia" w:eastAsiaTheme="minorEastAsia"/>
                <w:bCs/>
                <w:sz w:val="24"/>
                <w:szCs w:val="24"/>
              </w:rPr>
            </w:pPr>
          </w:p>
          <w:p>
            <w:pPr>
              <w:pStyle w:val="142"/>
              <w:keepNext/>
              <w:adjustRightInd w:val="0"/>
              <w:snapToGrid w:val="0"/>
              <w:spacing w:line="360" w:lineRule="auto"/>
              <w:ind w:firstLine="480" w:firstLineChars="200"/>
              <w:rPr>
                <w:rFonts w:hint="eastAsia" w:eastAsiaTheme="minorEastAsia"/>
                <w:bCs/>
                <w:sz w:val="24"/>
                <w:szCs w:val="24"/>
              </w:rPr>
            </w:pPr>
          </w:p>
          <w:p>
            <w:pPr>
              <w:pStyle w:val="142"/>
              <w:keepNext/>
              <w:adjustRightInd w:val="0"/>
              <w:snapToGrid w:val="0"/>
              <w:spacing w:line="360" w:lineRule="auto"/>
              <w:ind w:firstLine="480" w:firstLineChars="200"/>
              <w:rPr>
                <w:rFonts w:eastAsiaTheme="minorEastAsia"/>
                <w:bCs/>
                <w:sz w:val="24"/>
                <w:szCs w:val="24"/>
              </w:rPr>
            </w:pPr>
            <w:r>
              <w:rPr>
                <w:rFonts w:hint="eastAsia" w:eastAsiaTheme="minorEastAsia"/>
                <w:bCs/>
                <w:sz w:val="24"/>
                <w:szCs w:val="24"/>
              </w:rPr>
              <w:t>（</w:t>
            </w:r>
            <w:r>
              <w:rPr>
                <w:rFonts w:hint="eastAsia" w:eastAsiaTheme="minorEastAsia"/>
                <w:bCs/>
                <w:sz w:val="24"/>
                <w:szCs w:val="24"/>
                <w:lang w:val="en-US" w:eastAsia="zh-CN"/>
              </w:rPr>
              <w:t>2</w:t>
            </w:r>
            <w:r>
              <w:rPr>
                <w:rFonts w:hint="eastAsia" w:eastAsiaTheme="minorEastAsia"/>
                <w:bCs/>
                <w:sz w:val="24"/>
                <w:szCs w:val="24"/>
              </w:rPr>
              <w:t>）松阳湖监测断面</w:t>
            </w:r>
          </w:p>
          <w:p>
            <w:pPr>
              <w:pStyle w:val="142"/>
              <w:keepNext/>
              <w:ind w:firstLine="422" w:firstLineChars="200"/>
              <w:jc w:val="center"/>
              <w:rPr>
                <w:rFonts w:eastAsiaTheme="minorEastAsia"/>
                <w:b/>
              </w:rPr>
            </w:pPr>
            <w:r>
              <w:rPr>
                <w:rFonts w:eastAsiaTheme="minorEastAsia"/>
                <w:b/>
              </w:rPr>
              <w:t>表</w:t>
            </w:r>
            <w:r>
              <w:rPr>
                <w:rFonts w:eastAsiaTheme="minorEastAsia"/>
                <w:b/>
              </w:rPr>
              <w:fldChar w:fldCharType="begin"/>
            </w:r>
            <w:r>
              <w:rPr>
                <w:rFonts w:eastAsiaTheme="minorEastAsia"/>
                <w:b/>
              </w:rPr>
              <w:instrText xml:space="preserve"> STYLEREF 2 \s </w:instrText>
            </w:r>
            <w:r>
              <w:rPr>
                <w:rFonts w:eastAsiaTheme="minorEastAsia"/>
                <w:b/>
              </w:rPr>
              <w:fldChar w:fldCharType="separate"/>
            </w:r>
            <w:r>
              <w:rPr>
                <w:rFonts w:eastAsiaTheme="minorEastAsia"/>
                <w:b/>
              </w:rPr>
              <w:t>3.2</w:t>
            </w:r>
            <w:r>
              <w:rPr>
                <w:rFonts w:eastAsiaTheme="minorEastAsia"/>
                <w:b/>
              </w:rPr>
              <w:fldChar w:fldCharType="end"/>
            </w:r>
            <w:r>
              <w:rPr>
                <w:rFonts w:eastAsiaTheme="minorEastAsia"/>
                <w:b/>
              </w:rPr>
              <w:noBreakHyphen/>
            </w:r>
            <w:r>
              <w:rPr>
                <w:rFonts w:eastAsiaTheme="minorEastAsia"/>
                <w:b/>
              </w:rPr>
              <w:fldChar w:fldCharType="begin"/>
            </w:r>
            <w:r>
              <w:rPr>
                <w:rFonts w:eastAsiaTheme="minorEastAsia"/>
                <w:b/>
              </w:rPr>
              <w:instrText xml:space="preserve"> SEQ 表 \* ARABIC \s 2 </w:instrText>
            </w:r>
            <w:r>
              <w:rPr>
                <w:rFonts w:eastAsiaTheme="minorEastAsia"/>
                <w:b/>
              </w:rPr>
              <w:fldChar w:fldCharType="separate"/>
            </w:r>
            <w:r>
              <w:rPr>
                <w:rFonts w:eastAsiaTheme="minorEastAsia"/>
                <w:b/>
              </w:rPr>
              <w:t>5</w:t>
            </w:r>
            <w:r>
              <w:rPr>
                <w:rFonts w:eastAsiaTheme="minorEastAsia"/>
                <w:b/>
              </w:rPr>
              <w:fldChar w:fldCharType="end"/>
            </w:r>
            <w:r>
              <w:rPr>
                <w:rFonts w:eastAsiaTheme="minorEastAsia"/>
                <w:b/>
              </w:rPr>
              <w:t xml:space="preserve"> </w:t>
            </w:r>
            <w:r>
              <w:rPr>
                <w:rFonts w:hint="eastAsia" w:eastAsiaTheme="minorEastAsia"/>
                <w:b/>
              </w:rPr>
              <w:t>松阳湖水环境质量现状监测结果统计表（单位：mg/L，pH 无量纲）</w:t>
            </w:r>
          </w:p>
          <w:tbl>
            <w:tblPr>
              <w:tblStyle w:val="3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434"/>
              <w:gridCol w:w="918"/>
              <w:gridCol w:w="1108"/>
              <w:gridCol w:w="754"/>
              <w:gridCol w:w="1095"/>
              <w:gridCol w:w="763"/>
              <w:gridCol w:w="657"/>
              <w:gridCol w:w="835"/>
              <w:gridCol w:w="731"/>
              <w:gridCol w:w="664"/>
              <w:gridCol w:w="885"/>
              <w:gridCol w:w="916"/>
              <w:gridCol w:w="883"/>
              <w:gridCol w:w="582"/>
              <w:gridCol w:w="874"/>
              <w:gridCol w:w="9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1049" w:type="dxa"/>
                  <w:gridSpan w:val="2"/>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指标</w:t>
                  </w:r>
                </w:p>
              </w:tc>
              <w:tc>
                <w:tcPr>
                  <w:tcW w:w="918"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pH</w:t>
                  </w:r>
                </w:p>
              </w:tc>
              <w:tc>
                <w:tcPr>
                  <w:tcW w:w="1108"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高锰酸盐指数</w:t>
                  </w:r>
                </w:p>
              </w:tc>
              <w:tc>
                <w:tcPr>
                  <w:tcW w:w="754"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COD</w:t>
                  </w:r>
                </w:p>
              </w:tc>
              <w:tc>
                <w:tcPr>
                  <w:tcW w:w="1095"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position w:val="2"/>
                      <w:sz w:val="21"/>
                      <w:u w:val="single"/>
                    </w:rPr>
                    <w:t>BOD</w:t>
                  </w:r>
                  <w:r>
                    <w:rPr>
                      <w:rFonts w:hint="default" w:ascii="Times New Roman" w:hAnsi="Times New Roman" w:eastAsia="宋体" w:cs="Times New Roman"/>
                      <w:b w:val="0"/>
                      <w:bCs/>
                      <w:position w:val="2"/>
                      <w:sz w:val="21"/>
                      <w:u w:val="single"/>
                      <w:vertAlign w:val="subscript"/>
                    </w:rPr>
                    <w:t>5</w:t>
                  </w:r>
                </w:p>
              </w:tc>
              <w:tc>
                <w:tcPr>
                  <w:tcW w:w="763"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position w:val="2"/>
                      <w:sz w:val="21"/>
                      <w:u w:val="single"/>
                    </w:rPr>
                    <w:t>NH</w:t>
                  </w:r>
                  <w:r>
                    <w:rPr>
                      <w:rFonts w:hint="default" w:ascii="Times New Roman" w:hAnsi="Times New Roman" w:eastAsia="宋体" w:cs="Times New Roman"/>
                      <w:b w:val="0"/>
                      <w:bCs/>
                      <w:position w:val="2"/>
                      <w:sz w:val="21"/>
                      <w:u w:val="single"/>
                      <w:vertAlign w:val="subscript"/>
                    </w:rPr>
                    <w:t>3</w:t>
                  </w:r>
                  <w:r>
                    <w:rPr>
                      <w:rFonts w:hint="default" w:ascii="Times New Roman" w:hAnsi="Times New Roman" w:eastAsia="宋体" w:cs="Times New Roman"/>
                      <w:b w:val="0"/>
                      <w:bCs/>
                      <w:position w:val="2"/>
                      <w:sz w:val="21"/>
                      <w:u w:val="single"/>
                      <w:vertAlign w:val="baseline"/>
                    </w:rPr>
                    <w:t>-N</w:t>
                  </w:r>
                </w:p>
              </w:tc>
              <w:tc>
                <w:tcPr>
                  <w:tcW w:w="657"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TP</w:t>
                  </w:r>
                </w:p>
              </w:tc>
              <w:tc>
                <w:tcPr>
                  <w:tcW w:w="835"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铜</w:t>
                  </w:r>
                </w:p>
              </w:tc>
              <w:tc>
                <w:tcPr>
                  <w:tcW w:w="731"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锌</w:t>
                  </w:r>
                </w:p>
              </w:tc>
              <w:tc>
                <w:tcPr>
                  <w:tcW w:w="664"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硒</w:t>
                  </w:r>
                </w:p>
              </w:tc>
              <w:tc>
                <w:tcPr>
                  <w:tcW w:w="885"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砷</w:t>
                  </w:r>
                </w:p>
              </w:tc>
              <w:tc>
                <w:tcPr>
                  <w:tcW w:w="916"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六价铬</w:t>
                  </w:r>
                </w:p>
              </w:tc>
              <w:tc>
                <w:tcPr>
                  <w:tcW w:w="883"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6"/>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挥发酚</w:t>
                  </w:r>
                </w:p>
              </w:tc>
              <w:tc>
                <w:tcPr>
                  <w:tcW w:w="582"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石油类</w:t>
                  </w:r>
                </w:p>
              </w:tc>
              <w:tc>
                <w:tcPr>
                  <w:tcW w:w="874"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阴离子表面活性剂</w:t>
                  </w:r>
                </w:p>
              </w:tc>
              <w:tc>
                <w:tcPr>
                  <w:tcW w:w="921" w:type="dxa"/>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0" w:right="0" w:hanging="104"/>
                    <w:jc w:val="center"/>
                    <w:textAlignment w:val="auto"/>
                    <w:rPr>
                      <w:rFonts w:hint="default" w:ascii="Times New Roman" w:hAnsi="Times New Roman" w:eastAsia="宋体" w:cs="Times New Roman"/>
                      <w:b w:val="0"/>
                      <w:bCs/>
                      <w:sz w:val="21"/>
                      <w:u w:val="single"/>
                    </w:rPr>
                  </w:pPr>
                  <w:r>
                    <w:rPr>
                      <w:rFonts w:hint="default" w:ascii="Times New Roman" w:hAnsi="Times New Roman" w:eastAsia="宋体" w:cs="Times New Roman"/>
                      <w:b w:val="0"/>
                      <w:bCs/>
                      <w:sz w:val="21"/>
                      <w:u w:val="single"/>
                    </w:rPr>
                    <w:t>硫化物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15" w:type="dxa"/>
                  <w:vMerge w:val="restart"/>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2"/>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2" w:line="240" w:lineRule="auto"/>
                    <w:jc w:val="center"/>
                    <w:textAlignment w:val="auto"/>
                    <w:rPr>
                      <w:rFonts w:hint="default" w:ascii="Times New Roman" w:hAnsi="Times New Roman" w:cs="Times New Roman"/>
                      <w:b w:val="0"/>
                      <w:bCs/>
                      <w:sz w:val="17"/>
                      <w:u w:val="single"/>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57" w:line="240" w:lineRule="auto"/>
                    <w:ind w:left="9"/>
                    <w:jc w:val="center"/>
                    <w:textAlignment w:val="auto"/>
                    <w:rPr>
                      <w:rFonts w:hint="default" w:ascii="Times New Roman" w:hAnsi="Times New Roman" w:eastAsia="宋体" w:cs="Times New Roman"/>
                      <w:b w:val="0"/>
                      <w:bCs/>
                      <w:sz w:val="21"/>
                      <w:u w:val="single"/>
                    </w:rPr>
                  </w:pPr>
                  <w:r>
                    <w:rPr>
                      <w:rFonts w:hint="eastAsia" w:ascii="Times New Roman" w:hAnsi="Times New Roman" w:cs="Times New Roman"/>
                      <w:b w:val="0"/>
                      <w:bCs/>
                      <w:sz w:val="21"/>
                      <w:u w:val="single"/>
                      <w:lang w:val="en-US" w:eastAsia="zh-CN"/>
                    </w:rPr>
                    <w:t>2019</w:t>
                  </w:r>
                  <w:r>
                    <w:rPr>
                      <w:rFonts w:hint="default" w:ascii="Times New Roman" w:hAnsi="Times New Roman" w:eastAsia="宋体" w:cs="Times New Roman"/>
                      <w:b w:val="0"/>
                      <w:bCs/>
                      <w:w w:val="99"/>
                      <w:sz w:val="21"/>
                      <w:u w:val="single"/>
                    </w:rPr>
                    <w:t>年</w:t>
                  </w:r>
                </w:p>
              </w:tc>
              <w:tc>
                <w:tcPr>
                  <w:tcW w:w="434"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6"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1月</w:t>
                  </w:r>
                </w:p>
              </w:tc>
              <w:tc>
                <w:tcPr>
                  <w:tcW w:w="918"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7.65</w:t>
                  </w:r>
                </w:p>
              </w:tc>
              <w:tc>
                <w:tcPr>
                  <w:tcW w:w="1108"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3.5</w:t>
                  </w:r>
                </w:p>
              </w:tc>
              <w:tc>
                <w:tcPr>
                  <w:tcW w:w="754"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16</w:t>
                  </w:r>
                </w:p>
              </w:tc>
              <w:tc>
                <w:tcPr>
                  <w:tcW w:w="1095"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7.2</w:t>
                  </w:r>
                </w:p>
              </w:tc>
              <w:tc>
                <w:tcPr>
                  <w:tcW w:w="763"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0.15</w:t>
                  </w:r>
                </w:p>
              </w:tc>
              <w:tc>
                <w:tcPr>
                  <w:tcW w:w="657"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0.05</w:t>
                  </w:r>
                </w:p>
              </w:tc>
              <w:tc>
                <w:tcPr>
                  <w:tcW w:w="835"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0.006</w:t>
                  </w:r>
                </w:p>
              </w:tc>
              <w:tc>
                <w:tcPr>
                  <w:tcW w:w="731"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0.05</w:t>
                  </w:r>
                </w:p>
              </w:tc>
              <w:tc>
                <w:tcPr>
                  <w:tcW w:w="664"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0.0004</w:t>
                  </w:r>
                </w:p>
              </w:tc>
              <w:tc>
                <w:tcPr>
                  <w:tcW w:w="885"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0.003</w:t>
                  </w:r>
                </w:p>
              </w:tc>
              <w:tc>
                <w:tcPr>
                  <w:tcW w:w="916"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0.004</w:t>
                  </w:r>
                </w:p>
              </w:tc>
              <w:tc>
                <w:tcPr>
                  <w:tcW w:w="883"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0.0003</w:t>
                  </w:r>
                </w:p>
              </w:tc>
              <w:tc>
                <w:tcPr>
                  <w:tcW w:w="582"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0.01</w:t>
                  </w:r>
                </w:p>
              </w:tc>
              <w:tc>
                <w:tcPr>
                  <w:tcW w:w="874" w:type="dxa"/>
                  <w:tcBorders>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5"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2月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7.45</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3.6</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13</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3.7</w:t>
                  </w:r>
                </w:p>
              </w:tc>
              <w:tc>
                <w:tcPr>
                  <w:tcW w:w="763"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0.27</w:t>
                  </w:r>
                </w:p>
              </w:tc>
              <w:tc>
                <w:tcPr>
                  <w:tcW w:w="657"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0.08</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0.001</w:t>
                  </w:r>
                </w:p>
              </w:tc>
              <w:tc>
                <w:tcPr>
                  <w:tcW w:w="731"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0.0005</w:t>
                  </w:r>
                </w:p>
              </w:tc>
              <w:tc>
                <w:tcPr>
                  <w:tcW w:w="916"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0.0003</w:t>
                  </w:r>
                </w:p>
              </w:tc>
              <w:tc>
                <w:tcPr>
                  <w:tcW w:w="582"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6"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3月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7.12</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3.5</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25</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4.4</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0.15</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0.10</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0.001</w:t>
                  </w:r>
                </w:p>
              </w:tc>
              <w:tc>
                <w:tcPr>
                  <w:tcW w:w="73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0.0003</w:t>
                  </w:r>
                </w:p>
              </w:tc>
              <w:tc>
                <w:tcPr>
                  <w:tcW w:w="916"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0.0004</w:t>
                  </w:r>
                </w:p>
              </w:tc>
              <w:tc>
                <w:tcPr>
                  <w:tcW w:w="582"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6"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4月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7.14</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3.6</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20</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2.9</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0.19</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0.13</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0.015</w:t>
                  </w:r>
                </w:p>
              </w:tc>
              <w:tc>
                <w:tcPr>
                  <w:tcW w:w="73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0.0003</w:t>
                  </w:r>
                </w:p>
              </w:tc>
              <w:tc>
                <w:tcPr>
                  <w:tcW w:w="916"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582"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5"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5月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6.74</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4.5</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16</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4.4</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0.39</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0.16</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0.004</w:t>
                  </w:r>
                </w:p>
              </w:tc>
              <w:tc>
                <w:tcPr>
                  <w:tcW w:w="73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0.0009</w:t>
                  </w:r>
                </w:p>
              </w:tc>
              <w:tc>
                <w:tcPr>
                  <w:tcW w:w="916"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582"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6"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6月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6.75</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4.3</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29</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1.7</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0.51</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0.10</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0.004</w:t>
                  </w:r>
                </w:p>
              </w:tc>
              <w:tc>
                <w:tcPr>
                  <w:tcW w:w="73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0.0026</w:t>
                  </w:r>
                </w:p>
              </w:tc>
              <w:tc>
                <w:tcPr>
                  <w:tcW w:w="916"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0.0003</w:t>
                  </w:r>
                </w:p>
              </w:tc>
              <w:tc>
                <w:tcPr>
                  <w:tcW w:w="582"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6"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7月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6.93</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4.2</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16</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5.9</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0.19</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0.20</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0.009</w:t>
                  </w:r>
                </w:p>
              </w:tc>
              <w:tc>
                <w:tcPr>
                  <w:tcW w:w="73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0.041</w:t>
                  </w:r>
                </w:p>
              </w:tc>
              <w:tc>
                <w:tcPr>
                  <w:tcW w:w="916"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0.0003</w:t>
                  </w:r>
                </w:p>
              </w:tc>
              <w:tc>
                <w:tcPr>
                  <w:tcW w:w="582"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5"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8月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6.96</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4.0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33</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5.3</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0.42</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0.28</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0.014</w:t>
                  </w:r>
                </w:p>
              </w:tc>
              <w:tc>
                <w:tcPr>
                  <w:tcW w:w="73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0.0088</w:t>
                  </w:r>
                </w:p>
              </w:tc>
              <w:tc>
                <w:tcPr>
                  <w:tcW w:w="916"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0.0003</w:t>
                  </w:r>
                </w:p>
              </w:tc>
              <w:tc>
                <w:tcPr>
                  <w:tcW w:w="582"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6"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9月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6.95</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4.0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20</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1.8</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0.17</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0.21</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0.001</w:t>
                  </w:r>
                </w:p>
              </w:tc>
              <w:tc>
                <w:tcPr>
                  <w:tcW w:w="73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0.0063</w:t>
                  </w:r>
                </w:p>
              </w:tc>
              <w:tc>
                <w:tcPr>
                  <w:tcW w:w="916"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top"/>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eastAsia" w:ascii="Times New Roman" w:hAnsi="Times New Roman" w:cs="Times New Roman"/>
                      <w:b w:val="0"/>
                      <w:bCs/>
                      <w:sz w:val="21"/>
                      <w:szCs w:val="21"/>
                      <w:u w:val="single"/>
                      <w:lang w:val="en-US" w:eastAsia="zh-CN"/>
                    </w:rPr>
                  </w:pPr>
                </w:p>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0.0005</w:t>
                  </w:r>
                </w:p>
              </w:tc>
              <w:tc>
                <w:tcPr>
                  <w:tcW w:w="582"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6" w:line="240" w:lineRule="auto"/>
                    <w:ind w:left="49"/>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10月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ind w:left="34" w:right="25"/>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6.80</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3.8</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32</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5.9</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0.21</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0.16</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0.001</w:t>
                  </w:r>
                </w:p>
              </w:tc>
              <w:tc>
                <w:tcPr>
                  <w:tcW w:w="73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0.0026</w:t>
                  </w:r>
                </w:p>
              </w:tc>
              <w:tc>
                <w:tcPr>
                  <w:tcW w:w="916"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top"/>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eastAsia" w:ascii="Times New Roman" w:hAnsi="Times New Roman" w:cs="Times New Roman"/>
                      <w:b w:val="0"/>
                      <w:bCs/>
                      <w:sz w:val="21"/>
                      <w:szCs w:val="21"/>
                      <w:u w:val="single"/>
                      <w:lang w:val="en-US" w:eastAsia="zh-CN"/>
                    </w:rPr>
                  </w:pPr>
                </w:p>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0.0004</w:t>
                  </w:r>
                </w:p>
              </w:tc>
              <w:tc>
                <w:tcPr>
                  <w:tcW w:w="582"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6" w:line="240" w:lineRule="auto"/>
                    <w:ind w:left="49"/>
                    <w:jc w:val="center"/>
                    <w:textAlignment w:val="auto"/>
                    <w:rPr>
                      <w:rFonts w:hint="default" w:ascii="Times New Roman" w:hAnsi="Times New Roman" w:cs="Times New Roman"/>
                      <w:b w:val="0"/>
                      <w:bCs/>
                      <w:sz w:val="21"/>
                      <w:u w:val="single"/>
                      <w:lang w:val="en-US" w:eastAsia="zh-CN"/>
                    </w:rPr>
                  </w:pPr>
                  <w:r>
                    <w:rPr>
                      <w:rFonts w:hint="default" w:ascii="Times New Roman" w:hAnsi="Times New Roman" w:cs="Times New Roman"/>
                      <w:b w:val="0"/>
                      <w:bCs/>
                      <w:sz w:val="21"/>
                      <w:u w:val="single"/>
                      <w:lang w:val="en-US" w:eastAsia="zh-CN"/>
                    </w:rPr>
                    <w:t>11月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ind w:left="34" w:leftChars="0" w:right="25" w:righ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7.17</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4.0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27</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ind w:left="176" w:leftChars="0" w:right="164" w:righ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5.7</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0.32</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0.14</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ind w:left="8"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0.001</w:t>
                  </w:r>
                </w:p>
              </w:tc>
              <w:tc>
                <w:tcPr>
                  <w:tcW w:w="73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ind w:left="7" w:leftChars="0" w:right="1" w:righ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ind w:left="29" w:lef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ind w:left="29"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0.0011</w:t>
                  </w:r>
                </w:p>
              </w:tc>
              <w:tc>
                <w:tcPr>
                  <w:tcW w:w="916"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ind w:left="57" w:leftChars="0" w:right="47" w:righ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top"/>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eastAsia" w:ascii="Times New Roman" w:hAnsi="Times New Roman" w:cs="Times New Roman"/>
                      <w:b w:val="0"/>
                      <w:bCs/>
                      <w:sz w:val="21"/>
                      <w:szCs w:val="21"/>
                      <w:u w:val="single"/>
                      <w:lang w:val="en-US" w:eastAsia="zh-CN"/>
                    </w:rPr>
                  </w:pPr>
                </w:p>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0.0003</w:t>
                  </w:r>
                </w:p>
              </w:tc>
              <w:tc>
                <w:tcPr>
                  <w:tcW w:w="582"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ind w:left="57" w:leftChars="0" w:right="48" w:righ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ind w:left="136" w:leftChars="0"/>
                    <w:jc w:val="center"/>
                    <w:textAlignment w:val="auto"/>
                    <w:rPr>
                      <w:rFonts w:hint="default" w:ascii="Times New Roman" w:hAnsi="Times New Roman" w:cs="Times New Roman"/>
                      <w:b w:val="0"/>
                      <w:bCs/>
                      <w:sz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ind w:left="83" w:lef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615" w:type="dxa"/>
                  <w:vMerge w:val="continue"/>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sz w:val="2"/>
                      <w:szCs w:val="2"/>
                      <w:u w:val="single"/>
                    </w:rPr>
                  </w:pPr>
                </w:p>
              </w:tc>
              <w:tc>
                <w:tcPr>
                  <w:tcW w:w="434" w:type="dxa"/>
                  <w:tcBorders>
                    <w:top w:val="single" w:color="000000" w:sz="4" w:space="0"/>
                    <w:bottom w:val="single" w:color="000000" w:sz="4" w:space="0"/>
                  </w:tcBorders>
                  <w:noWrap w:val="0"/>
                  <w:vAlign w:val="center"/>
                </w:tcPr>
                <w:p>
                  <w:pPr>
                    <w:pStyle w:val="139"/>
                    <w:keepNext w:val="0"/>
                    <w:keepLines w:val="0"/>
                    <w:pageBreakBefore w:val="0"/>
                    <w:widowControl w:val="0"/>
                    <w:kinsoku w:val="0"/>
                    <w:wordWrap/>
                    <w:overflowPunct w:val="0"/>
                    <w:topLinePunct w:val="0"/>
                    <w:autoSpaceDE w:val="0"/>
                    <w:autoSpaceDN w:val="0"/>
                    <w:bidi w:val="0"/>
                    <w:adjustRightInd w:val="0"/>
                    <w:snapToGrid w:val="0"/>
                    <w:spacing w:before="56" w:line="240" w:lineRule="auto"/>
                    <w:ind w:left="49"/>
                    <w:jc w:val="center"/>
                    <w:textAlignment w:val="auto"/>
                    <w:rPr>
                      <w:rFonts w:hint="default" w:ascii="Times New Roman" w:hAnsi="Times New Roman" w:cs="Times New Roman"/>
                      <w:b w:val="0"/>
                      <w:bCs/>
                      <w:sz w:val="21"/>
                      <w:u w:val="single"/>
                      <w:lang w:val="en-US" w:eastAsia="zh-CN"/>
                    </w:rPr>
                  </w:pPr>
                  <w:r>
                    <w:rPr>
                      <w:rFonts w:hint="default" w:ascii="Times New Roman" w:hAnsi="Times New Roman" w:cs="Times New Roman"/>
                      <w:b w:val="0"/>
                      <w:bCs/>
                      <w:sz w:val="21"/>
                      <w:u w:val="single"/>
                      <w:lang w:val="en-US" w:eastAsia="zh-CN"/>
                    </w:rPr>
                    <w:t>12月</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34" w:leftChars="0" w:right="25" w:righ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6.98</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ind w:left="69" w:leftChars="0" w:right="57" w:rightChars="0"/>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sz w:val="21"/>
                      <w:u w:val="single"/>
                    </w:rPr>
                    <w:t>4.1</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26</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176" w:leftChars="0" w:right="164" w:righ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3.5</w:t>
                  </w:r>
                </w:p>
              </w:tc>
              <w:tc>
                <w:tcPr>
                  <w:tcW w:w="763"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0.04</w:t>
                  </w:r>
                </w:p>
              </w:tc>
              <w:tc>
                <w:tcPr>
                  <w:tcW w:w="657" w:type="dxa"/>
                  <w:tcBorders>
                    <w:top w:val="single" w:color="000000" w:sz="4" w:space="0"/>
                    <w:bottom w:val="single" w:color="000000" w:sz="4" w:space="0"/>
                  </w:tcBorders>
                  <w:noWrap w:val="0"/>
                  <w:vAlign w:val="top"/>
                </w:tcPr>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p>
                <w:p>
                  <w:pPr>
                    <w:pStyle w:val="139"/>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default" w:ascii="Times New Roman" w:hAnsi="Times New Roman" w:cs="Times New Roman"/>
                      <w:b w:val="0"/>
                      <w:bCs/>
                      <w:sz w:val="21"/>
                      <w:szCs w:val="21"/>
                      <w:u w:val="single"/>
                      <w:lang w:val="en-US" w:eastAsia="zh-CN"/>
                    </w:rPr>
                    <w:t>0.08</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0.001</w:t>
                  </w:r>
                </w:p>
              </w:tc>
              <w:tc>
                <w:tcPr>
                  <w:tcW w:w="73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7" w:leftChars="0" w:right="1" w:righ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0.05</w:t>
                  </w:r>
                </w:p>
              </w:tc>
              <w:tc>
                <w:tcPr>
                  <w:tcW w:w="66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29" w:lef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0.0004</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29"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0.0007</w:t>
                  </w:r>
                </w:p>
              </w:tc>
              <w:tc>
                <w:tcPr>
                  <w:tcW w:w="916"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57" w:leftChars="0" w:right="47" w:righ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0.004</w:t>
                  </w:r>
                </w:p>
              </w:tc>
              <w:tc>
                <w:tcPr>
                  <w:tcW w:w="883" w:type="dxa"/>
                  <w:tcBorders>
                    <w:top w:val="single" w:color="000000" w:sz="4" w:space="0"/>
                    <w:bottom w:val="single" w:color="000000" w:sz="4" w:space="0"/>
                  </w:tcBorders>
                  <w:noWrap w:val="0"/>
                  <w:vAlign w:val="top"/>
                </w:tcPr>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eastAsia" w:ascii="Times New Roman" w:hAnsi="Times New Roman" w:cs="Times New Roman"/>
                      <w:b w:val="0"/>
                      <w:bCs/>
                      <w:sz w:val="21"/>
                      <w:szCs w:val="21"/>
                      <w:u w:val="single"/>
                      <w:lang w:val="en-US" w:eastAsia="zh-CN"/>
                    </w:rPr>
                  </w:pPr>
                </w:p>
                <w:p>
                  <w:pPr>
                    <w:keepNext w:val="0"/>
                    <w:keepLines w:val="0"/>
                    <w:pageBreakBefore w:val="0"/>
                    <w:widowControl w:val="0"/>
                    <w:kinsoku w:val="0"/>
                    <w:wordWrap/>
                    <w:overflowPunct w:val="0"/>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0.0003</w:t>
                  </w:r>
                </w:p>
              </w:tc>
              <w:tc>
                <w:tcPr>
                  <w:tcW w:w="582"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57" w:leftChars="0" w:right="48" w:righ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0.01</w:t>
                  </w:r>
                </w:p>
              </w:tc>
              <w:tc>
                <w:tcPr>
                  <w:tcW w:w="87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36" w:leftChars="0"/>
                    <w:jc w:val="center"/>
                    <w:textAlignment w:val="auto"/>
                    <w:rPr>
                      <w:rFonts w:hint="default" w:ascii="Times New Roman" w:hAnsi="Times New Roman" w:cs="Times New Roman"/>
                      <w:b w:val="0"/>
                      <w:bCs/>
                      <w:sz w:val="21"/>
                      <w:u w:val="single"/>
                    </w:rPr>
                  </w:pPr>
                  <w:r>
                    <w:rPr>
                      <w:sz w:val="21"/>
                      <w:u w:val="single"/>
                    </w:rPr>
                    <w:t>0.05</w:t>
                  </w:r>
                </w:p>
              </w:tc>
              <w:tc>
                <w:tcPr>
                  <w:tcW w:w="92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83" w:leftChars="0"/>
                    <w:jc w:val="center"/>
                    <w:textAlignment w:val="auto"/>
                    <w:rPr>
                      <w:rFonts w:hint="default" w:ascii="Times New Roman" w:hAnsi="Times New Roman" w:cs="Times New Roman"/>
                      <w:b w:val="0"/>
                      <w:bCs/>
                      <w:sz w:val="21"/>
                      <w:u w:val="single"/>
                    </w:rPr>
                  </w:pPr>
                  <w:r>
                    <w:rPr>
                      <w:rFonts w:hint="eastAsia" w:ascii="Times New Roman" w:hAnsi="Times New Roman" w:cs="Times New Roman"/>
                      <w:b w:val="0"/>
                      <w:bCs/>
                      <w:sz w:val="21"/>
                      <w:szCs w:val="21"/>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49" w:type="dxa"/>
                  <w:gridSpan w:val="2"/>
                  <w:noWrap w:val="0"/>
                  <w:vAlign w:val="center"/>
                </w:tcPr>
                <w:p>
                  <w:pPr>
                    <w:pStyle w:val="139"/>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b w:val="0"/>
                      <w:bCs/>
                      <w:sz w:val="21"/>
                      <w:u w:val="single"/>
                      <w:lang w:val="en-US" w:eastAsia="zh-CN"/>
                    </w:rPr>
                  </w:pPr>
                  <w:r>
                    <w:rPr>
                      <w:rFonts w:hint="default" w:ascii="Times New Roman" w:hAnsi="Times New Roman" w:cs="Times New Roman" w:eastAsiaTheme="minorEastAsia"/>
                      <w:b w:val="0"/>
                      <w:bCs/>
                      <w:kern w:val="2"/>
                      <w:sz w:val="21"/>
                      <w:szCs w:val="21"/>
                      <w:u w:val="single"/>
                      <w:lang w:val="en-US" w:eastAsia="zh-CN" w:bidi="ar-SA"/>
                    </w:rPr>
                    <w:t>执行标准</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34" w:leftChars="0" w:right="25" w:righ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rPr>
                    <w:t>6~9</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rPr>
                    <w:t>≤</w:t>
                  </w:r>
                  <w:r>
                    <w:rPr>
                      <w:rFonts w:hint="eastAsia" w:ascii="Times New Roman" w:hAnsi="Times New Roman" w:cs="Times New Roman"/>
                      <w:b w:val="0"/>
                      <w:bCs/>
                      <w:sz w:val="21"/>
                      <w:szCs w:val="21"/>
                      <w:u w:val="single"/>
                      <w:lang w:val="en-US" w:eastAsia="zh-CN"/>
                    </w:rPr>
                    <w:t>10</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b w:val="0"/>
                      <w:bCs/>
                      <w:sz w:val="21"/>
                      <w:szCs w:val="21"/>
                      <w:u w:val="single"/>
                    </w:rPr>
                    <w:t>≤</w:t>
                  </w:r>
                  <w:r>
                    <w:rPr>
                      <w:rFonts w:hint="eastAsia" w:ascii="Times New Roman" w:hAnsi="Times New Roman" w:cs="Times New Roman"/>
                      <w:b w:val="0"/>
                      <w:bCs/>
                      <w:sz w:val="21"/>
                      <w:szCs w:val="21"/>
                      <w:u w:val="single"/>
                      <w:lang w:val="en-US" w:eastAsia="zh-CN"/>
                    </w:rPr>
                    <w:t>30</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174" w:leftChars="0" w:right="167" w:rightChars="0"/>
                    <w:jc w:val="center"/>
                    <w:textAlignment w:val="auto"/>
                    <w:rPr>
                      <w:rFonts w:hint="eastAsia" w:ascii="Times New Roman" w:hAnsi="Times New Roman" w:eastAsia="宋体" w:cs="Times New Roman"/>
                      <w:b w:val="0"/>
                      <w:bCs/>
                      <w:sz w:val="21"/>
                      <w:u w:val="single"/>
                      <w:lang w:eastAsia="zh-CN"/>
                    </w:rPr>
                  </w:pPr>
                  <w:r>
                    <w:rPr>
                      <w:rFonts w:hint="default" w:ascii="Times New Roman" w:hAnsi="Times New Roman" w:cs="Times New Roman"/>
                      <w:b w:val="0"/>
                      <w:bCs/>
                      <w:sz w:val="21"/>
                      <w:u w:val="single"/>
                    </w:rPr>
                    <w:t>≤</w:t>
                  </w:r>
                  <w:r>
                    <w:rPr>
                      <w:rFonts w:hint="eastAsia" w:ascii="Times New Roman" w:hAnsi="Times New Roman" w:cs="Times New Roman"/>
                      <w:b w:val="0"/>
                      <w:bCs/>
                      <w:sz w:val="21"/>
                      <w:u w:val="single"/>
                      <w:lang w:val="en-US" w:eastAsia="zh-CN"/>
                    </w:rPr>
                    <w:t>6</w:t>
                  </w:r>
                </w:p>
              </w:tc>
              <w:tc>
                <w:tcPr>
                  <w:tcW w:w="763"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9" w:leftChars="0"/>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rPr>
                    <w:t>≤</w:t>
                  </w:r>
                  <w:r>
                    <w:rPr>
                      <w:rFonts w:hint="eastAsia" w:ascii="Times New Roman" w:hAnsi="Times New Roman" w:cs="Times New Roman"/>
                      <w:b w:val="0"/>
                      <w:bCs/>
                      <w:sz w:val="21"/>
                      <w:u w:val="single"/>
                      <w:lang w:val="en-US" w:eastAsia="zh-CN"/>
                    </w:rPr>
                    <w:t>1.5</w:t>
                  </w:r>
                </w:p>
              </w:tc>
              <w:tc>
                <w:tcPr>
                  <w:tcW w:w="657"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eastAsia" w:ascii="Times New Roman" w:hAnsi="Times New Roman" w:eastAsia="宋体" w:cs="Times New Roman"/>
                      <w:b w:val="0"/>
                      <w:bCs/>
                      <w:sz w:val="21"/>
                      <w:u w:val="single"/>
                      <w:lang w:eastAsia="zh-CN"/>
                    </w:rPr>
                  </w:pPr>
                  <w:r>
                    <w:rPr>
                      <w:rFonts w:hint="default" w:ascii="Times New Roman" w:hAnsi="Times New Roman" w:cs="Times New Roman"/>
                      <w:b w:val="0"/>
                      <w:bCs/>
                      <w:sz w:val="21"/>
                      <w:u w:val="single"/>
                    </w:rPr>
                    <w:t>≤0.</w:t>
                  </w:r>
                  <w:r>
                    <w:rPr>
                      <w:rFonts w:hint="eastAsia" w:ascii="Times New Roman" w:hAnsi="Times New Roman" w:cs="Times New Roman"/>
                      <w:b w:val="0"/>
                      <w:bCs/>
                      <w:sz w:val="21"/>
                      <w:u w:val="single"/>
                      <w:lang w:val="en-US" w:eastAsia="zh-CN"/>
                    </w:rPr>
                    <w:t>1</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6"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rPr>
                    <w:t>≤1</w:t>
                  </w:r>
                </w:p>
              </w:tc>
              <w:tc>
                <w:tcPr>
                  <w:tcW w:w="731"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rPr>
                    <w:t>≤2.0</w:t>
                  </w:r>
                </w:p>
              </w:tc>
              <w:tc>
                <w:tcPr>
                  <w:tcW w:w="66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eastAsia" w:ascii="Times New Roman" w:hAnsi="Times New Roman" w:eastAsia="宋体" w:cs="Times New Roman"/>
                      <w:b w:val="0"/>
                      <w:bCs/>
                      <w:sz w:val="21"/>
                      <w:u w:val="single"/>
                      <w:lang w:eastAsia="zh-CN"/>
                    </w:rPr>
                  </w:pPr>
                  <w:r>
                    <w:rPr>
                      <w:rFonts w:hint="default" w:ascii="Times New Roman" w:hAnsi="Times New Roman" w:cs="Times New Roman"/>
                      <w:b w:val="0"/>
                      <w:bCs/>
                      <w:sz w:val="21"/>
                      <w:u w:val="single"/>
                    </w:rPr>
                    <w:t>≤0.0</w:t>
                  </w:r>
                  <w:r>
                    <w:rPr>
                      <w:rFonts w:hint="eastAsia" w:ascii="Times New Roman" w:hAnsi="Times New Roman" w:cs="Times New Roman"/>
                      <w:b w:val="0"/>
                      <w:bCs/>
                      <w:sz w:val="21"/>
                      <w:u w:val="single"/>
                      <w:lang w:val="en-US" w:eastAsia="zh-CN"/>
                    </w:rPr>
                    <w:t>2</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eastAsia" w:ascii="Times New Roman" w:hAnsi="Times New Roman" w:eastAsia="宋体" w:cs="Times New Roman"/>
                      <w:b w:val="0"/>
                      <w:bCs/>
                      <w:sz w:val="21"/>
                      <w:u w:val="single"/>
                      <w:lang w:eastAsia="zh-CN"/>
                    </w:rPr>
                  </w:pPr>
                  <w:r>
                    <w:rPr>
                      <w:rFonts w:hint="default" w:ascii="Times New Roman" w:hAnsi="Times New Roman" w:cs="Times New Roman"/>
                      <w:b w:val="0"/>
                      <w:bCs/>
                      <w:sz w:val="21"/>
                      <w:u w:val="single"/>
                    </w:rPr>
                    <w:t>≤0.</w:t>
                  </w:r>
                  <w:r>
                    <w:rPr>
                      <w:rFonts w:hint="eastAsia" w:ascii="Times New Roman" w:hAnsi="Times New Roman" w:cs="Times New Roman"/>
                      <w:b w:val="0"/>
                      <w:bCs/>
                      <w:sz w:val="21"/>
                      <w:u w:val="single"/>
                      <w:lang w:val="en-US" w:eastAsia="zh-CN"/>
                    </w:rPr>
                    <w:t>1</w:t>
                  </w:r>
                </w:p>
              </w:tc>
              <w:tc>
                <w:tcPr>
                  <w:tcW w:w="916"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57" w:leftChars="0" w:right="47" w:rightChars="0"/>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rPr>
                    <w:t>≤</w:t>
                  </w:r>
                  <w:r>
                    <w:rPr>
                      <w:rFonts w:hint="eastAsia" w:ascii="Times New Roman" w:hAnsi="Times New Roman" w:cs="Times New Roman"/>
                      <w:b w:val="0"/>
                      <w:bCs/>
                      <w:sz w:val="21"/>
                      <w:u w:val="single"/>
                      <w:lang w:val="en-US" w:eastAsia="zh-CN"/>
                    </w:rPr>
                    <w:t>0.05</w:t>
                  </w:r>
                </w:p>
              </w:tc>
              <w:tc>
                <w:tcPr>
                  <w:tcW w:w="883"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24" w:leftChars="0"/>
                    <w:jc w:val="center"/>
                    <w:textAlignment w:val="auto"/>
                    <w:rPr>
                      <w:rFonts w:hint="eastAsia"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rPr>
                    <w:t>≤0.0</w:t>
                  </w:r>
                  <w:r>
                    <w:rPr>
                      <w:rFonts w:hint="eastAsia" w:ascii="Times New Roman" w:hAnsi="Times New Roman" w:cs="Times New Roman"/>
                      <w:b w:val="0"/>
                      <w:bCs/>
                      <w:sz w:val="21"/>
                      <w:u w:val="single"/>
                      <w:lang w:val="en-US" w:eastAsia="zh-CN"/>
                    </w:rPr>
                    <w:t>1</w:t>
                  </w:r>
                </w:p>
              </w:tc>
              <w:tc>
                <w:tcPr>
                  <w:tcW w:w="582"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57" w:leftChars="0" w:right="48" w:rightChars="0"/>
                    <w:jc w:val="center"/>
                    <w:textAlignment w:val="auto"/>
                    <w:rPr>
                      <w:rFonts w:hint="eastAsia" w:ascii="Times New Roman" w:hAnsi="Times New Roman" w:eastAsia="宋体" w:cs="Times New Roman"/>
                      <w:b w:val="0"/>
                      <w:bCs/>
                      <w:sz w:val="21"/>
                      <w:u w:val="single"/>
                      <w:lang w:eastAsia="zh-CN"/>
                    </w:rPr>
                  </w:pPr>
                  <w:r>
                    <w:rPr>
                      <w:rFonts w:hint="default" w:ascii="Times New Roman" w:hAnsi="Times New Roman" w:cs="Times New Roman"/>
                      <w:b w:val="0"/>
                      <w:bCs/>
                      <w:sz w:val="21"/>
                      <w:u w:val="single"/>
                    </w:rPr>
                    <w:t>≤0.</w:t>
                  </w:r>
                  <w:r>
                    <w:rPr>
                      <w:rFonts w:hint="eastAsia" w:ascii="Times New Roman" w:hAnsi="Times New Roman" w:cs="Times New Roman"/>
                      <w:b w:val="0"/>
                      <w:bCs/>
                      <w:sz w:val="21"/>
                      <w:u w:val="single"/>
                      <w:lang w:val="en-US" w:eastAsia="zh-CN"/>
                    </w:rPr>
                    <w:t>5</w:t>
                  </w:r>
                </w:p>
              </w:tc>
              <w:tc>
                <w:tcPr>
                  <w:tcW w:w="87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eastAsia" w:ascii="Times New Roman" w:hAnsi="Times New Roman" w:eastAsia="宋体" w:cs="Times New Roman"/>
                      <w:b w:val="0"/>
                      <w:bCs/>
                      <w:sz w:val="21"/>
                      <w:u w:val="single"/>
                      <w:lang w:eastAsia="zh-CN"/>
                    </w:rPr>
                  </w:pPr>
                  <w:r>
                    <w:rPr>
                      <w:rFonts w:hint="default" w:ascii="Times New Roman" w:hAnsi="Times New Roman" w:cs="Times New Roman"/>
                      <w:b w:val="0"/>
                      <w:bCs/>
                      <w:sz w:val="21"/>
                      <w:u w:val="single"/>
                    </w:rPr>
                    <w:t>≤0.</w:t>
                  </w:r>
                  <w:r>
                    <w:rPr>
                      <w:rFonts w:hint="eastAsia" w:ascii="Times New Roman" w:hAnsi="Times New Roman" w:cs="Times New Roman"/>
                      <w:b w:val="0"/>
                      <w:bCs/>
                      <w:sz w:val="21"/>
                      <w:u w:val="single"/>
                      <w:lang w:val="en-US" w:eastAsia="zh-CN"/>
                    </w:rPr>
                    <w:t>3</w:t>
                  </w:r>
                </w:p>
              </w:tc>
              <w:tc>
                <w:tcPr>
                  <w:tcW w:w="921"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eastAsia" w:ascii="Times New Roman" w:hAnsi="Times New Roman" w:eastAsia="宋体" w:cs="Times New Roman"/>
                      <w:b w:val="0"/>
                      <w:bCs/>
                      <w:sz w:val="21"/>
                      <w:u w:val="single"/>
                      <w:lang w:eastAsia="zh-CN"/>
                    </w:rPr>
                  </w:pPr>
                  <w:r>
                    <w:rPr>
                      <w:rFonts w:hint="default" w:ascii="Times New Roman" w:hAnsi="Times New Roman" w:cs="Times New Roman"/>
                      <w:b w:val="0"/>
                      <w:bCs/>
                      <w:sz w:val="21"/>
                      <w:u w:val="single"/>
                    </w:rPr>
                    <w:t>≤0.</w:t>
                  </w:r>
                  <w:r>
                    <w:rPr>
                      <w:rFonts w:hint="eastAsia" w:ascii="Times New Roman" w:hAnsi="Times New Roman" w:cs="Times New Roman"/>
                      <w:b w:val="0"/>
                      <w:bCs/>
                      <w:sz w:val="21"/>
                      <w:u w:val="singl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49" w:type="dxa"/>
                  <w:gridSpan w:val="2"/>
                  <w:noWrap w:val="0"/>
                  <w:vAlign w:val="center"/>
                </w:tcPr>
                <w:p>
                  <w:pPr>
                    <w:pStyle w:val="139"/>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eastAsiaTheme="minorEastAsia"/>
                      <w:b w:val="0"/>
                      <w:bCs/>
                      <w:kern w:val="2"/>
                      <w:sz w:val="21"/>
                      <w:szCs w:val="21"/>
                      <w:u w:val="single"/>
                      <w:lang w:val="en-US" w:eastAsia="zh-CN" w:bidi="ar-SA"/>
                    </w:rPr>
                  </w:pPr>
                  <w:r>
                    <w:rPr>
                      <w:rFonts w:hint="default" w:ascii="Times New Roman" w:hAnsi="Times New Roman" w:cs="Times New Roman" w:eastAsiaTheme="minorEastAsia"/>
                      <w:b w:val="0"/>
                      <w:bCs/>
                      <w:kern w:val="2"/>
                      <w:sz w:val="21"/>
                      <w:szCs w:val="21"/>
                      <w:u w:val="single"/>
                      <w:lang w:val="en-US" w:eastAsia="zh-CN" w:bidi="ar-SA"/>
                    </w:rPr>
                    <w:t>标准指数</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34" w:leftChars="0" w:right="25" w:righ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0.26~0.38</w:t>
                  </w:r>
                </w:p>
              </w:tc>
              <w:tc>
                <w:tcPr>
                  <w:tcW w:w="110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0.35~0.45</w:t>
                  </w:r>
                </w:p>
              </w:tc>
              <w:tc>
                <w:tcPr>
                  <w:tcW w:w="75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0.43~1.1</w:t>
                  </w:r>
                </w:p>
              </w:tc>
              <w:tc>
                <w:tcPr>
                  <w:tcW w:w="109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174" w:leftChars="0" w:right="167" w:righ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0.28~1.2</w:t>
                  </w:r>
                </w:p>
              </w:tc>
              <w:tc>
                <w:tcPr>
                  <w:tcW w:w="763"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9"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0.1~0.34</w:t>
                  </w:r>
                </w:p>
              </w:tc>
              <w:tc>
                <w:tcPr>
                  <w:tcW w:w="657"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0.5~2.8</w:t>
                  </w:r>
                </w:p>
              </w:tc>
              <w:tc>
                <w:tcPr>
                  <w:tcW w:w="83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6"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szCs w:val="21"/>
                      <w:u w:val="single"/>
                      <w:lang w:val="en-US" w:eastAsia="zh-CN"/>
                    </w:rPr>
                    <w:t>0.001~0.015</w:t>
                  </w:r>
                </w:p>
              </w:tc>
              <w:tc>
                <w:tcPr>
                  <w:tcW w:w="731"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0.025</w:t>
                  </w:r>
                </w:p>
              </w:tc>
              <w:tc>
                <w:tcPr>
                  <w:tcW w:w="66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0.02</w:t>
                  </w:r>
                </w:p>
              </w:tc>
              <w:tc>
                <w:tcPr>
                  <w:tcW w:w="885"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0.009~0.0088</w:t>
                  </w:r>
                </w:p>
              </w:tc>
              <w:tc>
                <w:tcPr>
                  <w:tcW w:w="916"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57" w:leftChars="0" w:right="47" w:righ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0.08</w:t>
                  </w:r>
                </w:p>
              </w:tc>
              <w:tc>
                <w:tcPr>
                  <w:tcW w:w="883"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24"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0.03~0.05</w:t>
                  </w:r>
                </w:p>
              </w:tc>
              <w:tc>
                <w:tcPr>
                  <w:tcW w:w="582"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57" w:leftChars="0" w:right="48" w:righ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0.02</w:t>
                  </w:r>
                </w:p>
              </w:tc>
              <w:tc>
                <w:tcPr>
                  <w:tcW w:w="874"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0.17</w:t>
                  </w:r>
                </w:p>
              </w:tc>
              <w:tc>
                <w:tcPr>
                  <w:tcW w:w="921"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default" w:ascii="Times New Roman" w:hAnsi="Times New Roman" w:eastAsia="宋体" w:cs="Times New Roman"/>
                      <w:b w:val="0"/>
                      <w:bCs/>
                      <w:sz w:val="21"/>
                      <w:u w:val="single"/>
                      <w:lang w:val="en-US" w:eastAsia="zh-CN"/>
                    </w:rPr>
                  </w:pPr>
                  <w:r>
                    <w:rPr>
                      <w:rFonts w:hint="eastAsia" w:ascii="Times New Roman" w:hAnsi="Times New Roman" w:cs="Times New Roman"/>
                      <w:b w:val="0"/>
                      <w:bCs/>
                      <w:sz w:val="21"/>
                      <w:u w:val="single"/>
                      <w:lang w:val="en-US" w:eastAsia="zh-CN"/>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49" w:type="dxa"/>
                  <w:gridSpan w:val="2"/>
                  <w:noWrap w:val="0"/>
                  <w:vAlign w:val="center"/>
                </w:tcPr>
                <w:p>
                  <w:pPr>
                    <w:pStyle w:val="139"/>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eastAsiaTheme="minorEastAsia"/>
                      <w:b w:val="0"/>
                      <w:bCs/>
                      <w:kern w:val="2"/>
                      <w:sz w:val="21"/>
                      <w:szCs w:val="21"/>
                      <w:u w:val="single"/>
                      <w:lang w:val="en-US" w:eastAsia="zh-CN" w:bidi="ar-SA"/>
                    </w:rPr>
                  </w:pPr>
                  <w:r>
                    <w:rPr>
                      <w:rFonts w:hint="default" w:ascii="Times New Roman" w:hAnsi="Times New Roman" w:cs="Times New Roman" w:eastAsiaTheme="minorEastAsia"/>
                      <w:b w:val="0"/>
                      <w:bCs/>
                      <w:kern w:val="2"/>
                      <w:sz w:val="21"/>
                      <w:szCs w:val="21"/>
                      <w:u w:val="single"/>
                      <w:lang w:val="en-US" w:eastAsia="zh-CN" w:bidi="ar-SA"/>
                    </w:rPr>
                    <w:t>超标率</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34" w:leftChars="0" w:right="25" w:rightChars="0"/>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0</w:t>
                  </w:r>
                </w:p>
              </w:tc>
              <w:tc>
                <w:tcPr>
                  <w:tcW w:w="1108"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0</w:t>
                  </w:r>
                </w:p>
              </w:tc>
              <w:tc>
                <w:tcPr>
                  <w:tcW w:w="75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rPr>
                  </w:pPr>
                  <w:r>
                    <w:rPr>
                      <w:rFonts w:hint="default" w:ascii="Times New Roman" w:hAnsi="Times New Roman" w:cs="Times New Roman"/>
                      <w:b w:val="0"/>
                      <w:bCs/>
                      <w:sz w:val="21"/>
                      <w:u w:val="single"/>
                      <w:lang w:val="en-US" w:eastAsia="zh-CN"/>
                    </w:rPr>
                    <w:t>16.7%</w:t>
                  </w:r>
                </w:p>
              </w:tc>
              <w:tc>
                <w:tcPr>
                  <w:tcW w:w="1095"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74" w:leftChars="0" w:right="167" w:righ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8.3%</w:t>
                  </w:r>
                </w:p>
              </w:tc>
              <w:tc>
                <w:tcPr>
                  <w:tcW w:w="763"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9"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657"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cs="Times New Roman"/>
                      <w:b w:val="0"/>
                      <w:bCs/>
                      <w:sz w:val="21"/>
                      <w:u w:val="single"/>
                      <w:lang w:val="en-US"/>
                    </w:rPr>
                  </w:pPr>
                  <w:r>
                    <w:rPr>
                      <w:rFonts w:hint="default" w:ascii="Times New Roman" w:hAnsi="Times New Roman" w:cs="Times New Roman"/>
                      <w:b w:val="0"/>
                      <w:bCs/>
                      <w:sz w:val="21"/>
                      <w:u w:val="single"/>
                      <w:lang w:val="en-US" w:eastAsia="zh-CN"/>
                    </w:rPr>
                    <w:t>75%</w:t>
                  </w:r>
                </w:p>
              </w:tc>
              <w:tc>
                <w:tcPr>
                  <w:tcW w:w="835"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6"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73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66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885"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916"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57" w:leftChars="0" w:right="47" w:righ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883"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24"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582"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57" w:leftChars="0" w:right="48" w:righ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87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92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049" w:type="dxa"/>
                  <w:gridSpan w:val="2"/>
                  <w:noWrap w:val="0"/>
                  <w:vAlign w:val="center"/>
                </w:tcPr>
                <w:p>
                  <w:pPr>
                    <w:pStyle w:val="139"/>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eastAsiaTheme="minorEastAsia"/>
                      <w:b w:val="0"/>
                      <w:bCs/>
                      <w:kern w:val="2"/>
                      <w:sz w:val="21"/>
                      <w:szCs w:val="21"/>
                      <w:u w:val="single"/>
                      <w:lang w:val="en-US" w:eastAsia="zh-CN" w:bidi="ar-SA"/>
                    </w:rPr>
                  </w:pPr>
                  <w:r>
                    <w:rPr>
                      <w:rFonts w:hint="default" w:ascii="Times New Roman" w:hAnsi="Times New Roman" w:cs="Times New Roman" w:eastAsiaTheme="minorEastAsia"/>
                      <w:b w:val="0"/>
                      <w:bCs/>
                      <w:kern w:val="2"/>
                      <w:sz w:val="21"/>
                      <w:szCs w:val="21"/>
                      <w:u w:val="single"/>
                      <w:lang w:val="en-US" w:eastAsia="zh-CN" w:bidi="ar-SA"/>
                    </w:rPr>
                    <w:t>最大超标倍数</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34" w:leftChars="0" w:right="25" w:rightChars="0"/>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cs="Times New Roman"/>
                      <w:b w:val="0"/>
                      <w:bCs/>
                      <w:sz w:val="21"/>
                      <w:u w:val="single"/>
                      <w:lang w:val="en-US" w:eastAsia="zh-CN"/>
                    </w:rPr>
                    <w:t>0</w:t>
                  </w:r>
                </w:p>
              </w:tc>
              <w:tc>
                <w:tcPr>
                  <w:tcW w:w="1108"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u w:val="single"/>
                      <w:lang w:val="en-US" w:eastAsia="zh-CN"/>
                    </w:rPr>
                    <w:t>0</w:t>
                  </w:r>
                </w:p>
              </w:tc>
              <w:tc>
                <w:tcPr>
                  <w:tcW w:w="75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lang w:val="en-US"/>
                    </w:rPr>
                  </w:pPr>
                  <w:r>
                    <w:rPr>
                      <w:rFonts w:hint="default" w:ascii="Times New Roman" w:hAnsi="Times New Roman" w:cs="Times New Roman"/>
                      <w:b w:val="0"/>
                      <w:bCs/>
                      <w:sz w:val="21"/>
                      <w:u w:val="single"/>
                      <w:lang w:val="en-US" w:eastAsia="zh-CN"/>
                    </w:rPr>
                    <w:t>0.1</w:t>
                  </w:r>
                </w:p>
              </w:tc>
              <w:tc>
                <w:tcPr>
                  <w:tcW w:w="1095"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74" w:leftChars="0" w:right="167" w:rightChars="0"/>
                    <w:jc w:val="center"/>
                    <w:textAlignment w:val="auto"/>
                    <w:rPr>
                      <w:rFonts w:hint="default" w:ascii="Times New Roman" w:hAnsi="Times New Roman" w:cs="Times New Roman"/>
                      <w:b w:val="0"/>
                      <w:bCs/>
                      <w:sz w:val="21"/>
                      <w:u w:val="single"/>
                      <w:lang w:val="en-US"/>
                    </w:rPr>
                  </w:pPr>
                  <w:r>
                    <w:rPr>
                      <w:rFonts w:hint="default" w:ascii="Times New Roman" w:hAnsi="Times New Roman" w:cs="Times New Roman"/>
                      <w:b w:val="0"/>
                      <w:bCs/>
                      <w:sz w:val="21"/>
                      <w:u w:val="single"/>
                      <w:lang w:val="en-US" w:eastAsia="zh-CN"/>
                    </w:rPr>
                    <w:t>0.2</w:t>
                  </w:r>
                </w:p>
              </w:tc>
              <w:tc>
                <w:tcPr>
                  <w:tcW w:w="763"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9"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657"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eastAsia="宋体" w:cs="Times New Roman"/>
                      <w:b w:val="0"/>
                      <w:bCs/>
                      <w:sz w:val="21"/>
                      <w:u w:val="single"/>
                      <w:lang w:val="en-US" w:eastAsia="zh-CN"/>
                    </w:rPr>
                  </w:pPr>
                  <w:r>
                    <w:rPr>
                      <w:rFonts w:hint="default" w:ascii="Times New Roman" w:hAnsi="Times New Roman" w:eastAsia="宋体" w:cs="Times New Roman"/>
                      <w:b w:val="0"/>
                      <w:bCs/>
                      <w:sz w:val="21"/>
                      <w:u w:val="single"/>
                      <w:lang w:val="en-US" w:eastAsia="zh-CN"/>
                    </w:rPr>
                    <w:t>0.64</w:t>
                  </w:r>
                </w:p>
              </w:tc>
              <w:tc>
                <w:tcPr>
                  <w:tcW w:w="835"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6"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73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66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885"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916"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57" w:leftChars="0" w:right="47" w:righ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883"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24"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582"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57" w:leftChars="0" w:right="48" w:righ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87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c>
                <w:tcPr>
                  <w:tcW w:w="92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 w:hRule="atLeast"/>
              </w:trPr>
              <w:tc>
                <w:tcPr>
                  <w:tcW w:w="1049" w:type="dxa"/>
                  <w:gridSpan w:val="2"/>
                  <w:noWrap w:val="0"/>
                  <w:vAlign w:val="center"/>
                </w:tcPr>
                <w:p>
                  <w:pPr>
                    <w:pStyle w:val="139"/>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cs="Times New Roman" w:eastAsiaTheme="minorEastAsia"/>
                      <w:b w:val="0"/>
                      <w:bCs/>
                      <w:kern w:val="2"/>
                      <w:sz w:val="21"/>
                      <w:szCs w:val="21"/>
                      <w:u w:val="single"/>
                      <w:lang w:val="en-US" w:eastAsia="zh-CN" w:bidi="ar-SA"/>
                    </w:rPr>
                  </w:pPr>
                  <w:r>
                    <w:rPr>
                      <w:rFonts w:hint="default" w:ascii="Times New Roman" w:hAnsi="Times New Roman" w:cs="Times New Roman" w:eastAsiaTheme="minorEastAsia"/>
                      <w:b w:val="0"/>
                      <w:bCs/>
                      <w:kern w:val="2"/>
                      <w:sz w:val="21"/>
                      <w:szCs w:val="21"/>
                      <w:u w:val="single"/>
                      <w:lang w:val="en-US" w:eastAsia="zh-CN" w:bidi="ar-SA"/>
                    </w:rPr>
                    <w:t>是否达标</w:t>
                  </w:r>
                </w:p>
              </w:tc>
              <w:tc>
                <w:tcPr>
                  <w:tcW w:w="918" w:type="dxa"/>
                  <w:tcBorders>
                    <w:top w:val="single" w:color="000000" w:sz="4" w:space="0"/>
                    <w:bottom w:val="single" w:color="000000" w:sz="4" w:space="0"/>
                  </w:tcBorders>
                  <w:noWrap w:val="0"/>
                  <w:vAlign w:val="center"/>
                </w:tcPr>
                <w:p>
                  <w:pPr>
                    <w:pStyle w:val="139"/>
                    <w:keepNext w:val="0"/>
                    <w:keepLines w:val="0"/>
                    <w:pageBreakBefore w:val="0"/>
                    <w:widowControl w:val="0"/>
                    <w:wordWrap/>
                    <w:topLinePunct w:val="0"/>
                    <w:autoSpaceDE w:val="0"/>
                    <w:autoSpaceDN w:val="0"/>
                    <w:bidi w:val="0"/>
                    <w:adjustRightInd w:val="0"/>
                    <w:snapToGrid w:val="0"/>
                    <w:spacing w:line="240" w:lineRule="auto"/>
                    <w:ind w:left="34" w:leftChars="0" w:right="25" w:rightChars="0"/>
                    <w:jc w:val="center"/>
                    <w:textAlignment w:val="auto"/>
                    <w:rPr>
                      <w:rFonts w:hint="default" w:ascii="Times New Roman" w:hAnsi="Times New Roman" w:eastAsia="宋体" w:cs="Times New Roman"/>
                      <w:b w:val="0"/>
                      <w:bCs/>
                      <w:sz w:val="21"/>
                      <w:u w:val="single"/>
                      <w:lang w:eastAsia="zh-CN"/>
                    </w:rPr>
                  </w:pPr>
                  <w:r>
                    <w:rPr>
                      <w:rFonts w:hint="default" w:ascii="Times New Roman" w:hAnsi="Times New Roman" w:cs="Times New Roman"/>
                      <w:b w:val="0"/>
                      <w:bCs/>
                      <w:sz w:val="21"/>
                      <w:u w:val="single"/>
                      <w:lang w:eastAsia="zh-CN"/>
                    </w:rPr>
                    <w:t>达标</w:t>
                  </w:r>
                </w:p>
              </w:tc>
              <w:tc>
                <w:tcPr>
                  <w:tcW w:w="1108"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cs="Times New Roman"/>
                      <w:b w:val="0"/>
                      <w:bCs/>
                      <w:sz w:val="21"/>
                      <w:szCs w:val="21"/>
                      <w:u w:val="single"/>
                    </w:rPr>
                  </w:pPr>
                  <w:r>
                    <w:rPr>
                      <w:rFonts w:hint="default" w:ascii="Times New Roman" w:hAnsi="Times New Roman" w:cs="Times New Roman"/>
                      <w:b w:val="0"/>
                      <w:bCs/>
                      <w:sz w:val="21"/>
                      <w:u w:val="single"/>
                      <w:lang w:eastAsia="zh-CN"/>
                    </w:rPr>
                    <w:t>达标</w:t>
                  </w:r>
                </w:p>
              </w:tc>
              <w:tc>
                <w:tcPr>
                  <w:tcW w:w="75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before="1" w:line="240" w:lineRule="auto"/>
                    <w:jc w:val="center"/>
                    <w:textAlignment w:val="auto"/>
                    <w:rPr>
                      <w:rFonts w:hint="default" w:ascii="Times New Roman" w:hAnsi="Times New Roman" w:eastAsia="宋体" w:cs="Times New Roman"/>
                      <w:b w:val="0"/>
                      <w:bCs/>
                      <w:sz w:val="21"/>
                      <w:szCs w:val="21"/>
                      <w:u w:val="single"/>
                      <w:lang w:eastAsia="zh-CN"/>
                    </w:rPr>
                  </w:pPr>
                  <w:r>
                    <w:rPr>
                      <w:rFonts w:hint="default" w:ascii="Times New Roman" w:hAnsi="Times New Roman" w:cs="Times New Roman"/>
                      <w:b w:val="0"/>
                      <w:bCs/>
                      <w:sz w:val="21"/>
                      <w:szCs w:val="21"/>
                      <w:u w:val="single"/>
                      <w:lang w:eastAsia="zh-CN"/>
                    </w:rPr>
                    <w:t>超标</w:t>
                  </w:r>
                </w:p>
              </w:tc>
              <w:tc>
                <w:tcPr>
                  <w:tcW w:w="1095"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74" w:leftChars="0" w:right="167" w:righ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超标</w:t>
                  </w:r>
                </w:p>
              </w:tc>
              <w:tc>
                <w:tcPr>
                  <w:tcW w:w="763"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9"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c>
                <w:tcPr>
                  <w:tcW w:w="657"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超标</w:t>
                  </w:r>
                </w:p>
              </w:tc>
              <w:tc>
                <w:tcPr>
                  <w:tcW w:w="835"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6"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c>
                <w:tcPr>
                  <w:tcW w:w="73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8"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c>
                <w:tcPr>
                  <w:tcW w:w="66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c>
                <w:tcPr>
                  <w:tcW w:w="885"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77"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c>
                <w:tcPr>
                  <w:tcW w:w="916"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57" w:leftChars="0" w:right="47" w:righ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c>
                <w:tcPr>
                  <w:tcW w:w="883"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24"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c>
                <w:tcPr>
                  <w:tcW w:w="582"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57" w:leftChars="0" w:right="48" w:righ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c>
                <w:tcPr>
                  <w:tcW w:w="874"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c>
                <w:tcPr>
                  <w:tcW w:w="921" w:type="dxa"/>
                  <w:tcBorders>
                    <w:top w:val="single" w:color="000000" w:sz="4" w:space="0"/>
                    <w:bottom w:val="single" w:color="000000" w:sz="4" w:space="0"/>
                  </w:tcBorders>
                  <w:noWrap w:val="0"/>
                  <w:vAlign w:val="center"/>
                </w:tcPr>
                <w:p>
                  <w:pPr>
                    <w:keepNext w:val="0"/>
                    <w:keepLines w:val="0"/>
                    <w:pageBreakBefore w:val="0"/>
                    <w:widowControl w:val="0"/>
                    <w:wordWrap/>
                    <w:topLinePunct w:val="0"/>
                    <w:autoSpaceDE w:val="0"/>
                    <w:autoSpaceDN w:val="0"/>
                    <w:bidi w:val="0"/>
                    <w:adjustRightInd w:val="0"/>
                    <w:snapToGrid w:val="0"/>
                    <w:spacing w:line="240" w:lineRule="auto"/>
                    <w:ind w:left="131" w:leftChars="0"/>
                    <w:jc w:val="center"/>
                    <w:textAlignment w:val="auto"/>
                    <w:rPr>
                      <w:rFonts w:hint="default" w:ascii="Times New Roman" w:hAnsi="Times New Roman" w:cs="Times New Roman"/>
                      <w:b w:val="0"/>
                      <w:bCs/>
                      <w:sz w:val="21"/>
                      <w:u w:val="single"/>
                    </w:rPr>
                  </w:pPr>
                  <w:r>
                    <w:rPr>
                      <w:rFonts w:hint="default" w:ascii="Times New Roman" w:hAnsi="Times New Roman" w:cs="Times New Roman"/>
                      <w:b w:val="0"/>
                      <w:bCs/>
                      <w:sz w:val="21"/>
                      <w:u w:val="single"/>
                      <w:lang w:eastAsia="zh-CN"/>
                    </w:rPr>
                    <w:t>达标</w:t>
                  </w:r>
                </w:p>
              </w:tc>
            </w:tr>
          </w:tbl>
          <w:p>
            <w:pPr>
              <w:pStyle w:val="142"/>
              <w:keepNext/>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sz w:val="24"/>
                <w:szCs w:val="24"/>
              </w:rPr>
            </w:pPr>
            <w:r>
              <w:rPr>
                <w:rFonts w:hint="default" w:ascii="Times New Roman" w:hAnsi="Times New Roman" w:eastAsia="宋体" w:cs="Times New Roman"/>
                <w:b w:val="0"/>
                <w:bCs/>
                <w:sz w:val="24"/>
                <w:szCs w:val="24"/>
                <w:u w:val="single"/>
                <w:lang w:val="en-US" w:eastAsia="zh-CN"/>
              </w:rPr>
              <w:t>根据监测结果可知，松阳湖监测因子除</w:t>
            </w:r>
            <w:r>
              <w:rPr>
                <w:rFonts w:hint="default" w:ascii="Times New Roman" w:hAnsi="Times New Roman" w:eastAsia="Times New Roman" w:cs="Times New Roman"/>
                <w:b w:val="0"/>
                <w:bCs/>
                <w:sz w:val="24"/>
                <w:szCs w:val="24"/>
                <w:u w:val="single"/>
              </w:rPr>
              <w:t>COD</w:t>
            </w:r>
            <w:r>
              <w:rPr>
                <w:rFonts w:hint="default" w:ascii="Times New Roman" w:hAnsi="Times New Roman" w:cs="Times New Roman"/>
                <w:b w:val="0"/>
                <w:bCs/>
                <w:spacing w:val="-19"/>
                <w:sz w:val="24"/>
                <w:szCs w:val="24"/>
                <w:u w:val="single"/>
              </w:rPr>
              <w:t>、五日生化需氧量、</w:t>
            </w:r>
            <w:r>
              <w:rPr>
                <w:rFonts w:hint="default" w:ascii="Times New Roman" w:hAnsi="Times New Roman" w:eastAsia="Times New Roman" w:cs="Times New Roman"/>
                <w:b w:val="0"/>
                <w:bCs/>
                <w:sz w:val="24"/>
                <w:szCs w:val="24"/>
                <w:u w:val="single"/>
              </w:rPr>
              <w:t>TP</w:t>
            </w:r>
            <w:r>
              <w:rPr>
                <w:rFonts w:hint="default" w:ascii="Times New Roman" w:hAnsi="Times New Roman" w:eastAsia="宋体" w:cs="Times New Roman"/>
                <w:b w:val="0"/>
                <w:bCs/>
                <w:sz w:val="24"/>
                <w:szCs w:val="24"/>
                <w:u w:val="single"/>
                <w:lang w:eastAsia="zh-CN"/>
              </w:rPr>
              <w:t>超标外，其余都能满足《地表水环境质量标准》</w:t>
            </w:r>
            <w:r>
              <w:rPr>
                <w:rFonts w:hint="default" w:ascii="Times New Roman" w:hAnsi="Times New Roman" w:eastAsia="宋体" w:cs="Times New Roman"/>
                <w:b w:val="0"/>
                <w:bCs/>
                <w:sz w:val="24"/>
                <w:szCs w:val="24"/>
                <w:u w:val="single"/>
                <w:lang w:val="en-US" w:eastAsia="zh-CN"/>
              </w:rPr>
              <w:t>（GB3838-2002）中Ⅳ类标准要求。</w:t>
            </w:r>
          </w:p>
          <w:p>
            <w:pPr>
              <w:pStyle w:val="2"/>
            </w:pPr>
          </w:p>
        </w:tc>
      </w:tr>
    </w:tbl>
    <w:p>
      <w:pPr>
        <w:pStyle w:val="7"/>
        <w:rPr>
          <w:rFonts w:cs="Times New Roman" w:eastAsiaTheme="minorEastAsia"/>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start="1"/>
          <w:cols w:space="0" w:num="1"/>
          <w:rtlGutter w:val="0"/>
          <w:docGrid w:type="lines" w:linePitch="332" w:charSpace="0"/>
        </w:sectPr>
      </w:pPr>
    </w:p>
    <w:tbl>
      <w:tblPr>
        <w:tblStyle w:val="33"/>
        <w:tblW w:w="5009" w:type="pct"/>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0" w:hRule="atLeast"/>
        </w:trPr>
        <w:tc>
          <w:tcPr>
            <w:tcW w:w="5000" w:type="pct"/>
          </w:tcPr>
          <w:p>
            <w:pPr>
              <w:pStyle w:val="7"/>
              <w:rPr>
                <w:rFonts w:cs="Times New Roman" w:eastAsiaTheme="minorEastAsia"/>
              </w:rPr>
            </w:pPr>
            <w:r>
              <w:rPr>
                <w:rFonts w:cs="Times New Roman" w:eastAsiaTheme="minorEastAsia"/>
              </w:rPr>
              <w:t>地下水环境现状监测与评价</w:t>
            </w:r>
          </w:p>
          <w:p>
            <w:pPr>
              <w:pStyle w:val="82"/>
              <w:spacing w:line="360" w:lineRule="auto"/>
              <w:ind w:firstLine="480"/>
              <w:rPr>
                <w:rFonts w:hint="default" w:ascii="Times New Roman" w:hAnsi="Times New Roman" w:cs="Times New Roman"/>
                <w:kern w:val="2"/>
              </w:rPr>
            </w:pPr>
            <w:r>
              <w:rPr>
                <w:rFonts w:hint="default" w:ascii="Times New Roman" w:hAnsi="Times New Roman" w:cs="Times New Roman"/>
                <w:kern w:val="2"/>
              </w:rPr>
              <w:t>根据《环境影响评价技术导则 地下水环境》（HJ 610-2016）中附录A项目类别可知，本项目为IV类项目。不需要进行地下水评价。本环评要求建设单位对厂区地面进行一般防渗处理，以防对地下水环境造成影响。</w:t>
            </w:r>
          </w:p>
          <w:p>
            <w:pPr>
              <w:pStyle w:val="7"/>
              <w:rPr>
                <w:rFonts w:cs="Times New Roman" w:eastAsiaTheme="minorEastAsia"/>
                <w:color w:val="000000" w:themeColor="text1"/>
              </w:rPr>
            </w:pPr>
            <w:r>
              <w:rPr>
                <w:rFonts w:cs="Times New Roman" w:eastAsiaTheme="minorEastAsia"/>
                <w:color w:val="000000" w:themeColor="text1"/>
              </w:rPr>
              <w:t>声环境现状监测与评价</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本项目委托湖南谱实检测技术有限公司于9月27日~9月28日分昼间、夜间对项目厂界四周进行了连续监测，对各测点环境噪声监测统计与评价结果见下表所示。</w:t>
            </w:r>
          </w:p>
          <w:p>
            <w:pPr>
              <w:pStyle w:val="15"/>
              <w:spacing w:line="240" w:lineRule="auto"/>
              <w:rPr>
                <w:rFonts w:cs="Times New Roman" w:eastAsiaTheme="minorEastAsia"/>
                <w:sz w:val="21"/>
                <w:szCs w:val="21"/>
              </w:rPr>
            </w:pPr>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3.2</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6</w:t>
            </w:r>
            <w:r>
              <w:rPr>
                <w:rFonts w:cs="Times New Roman" w:eastAsiaTheme="minorEastAsia"/>
                <w:sz w:val="21"/>
                <w:szCs w:val="21"/>
              </w:rPr>
              <w:fldChar w:fldCharType="end"/>
            </w:r>
            <w:r>
              <w:rPr>
                <w:rFonts w:cs="Times New Roman" w:eastAsiaTheme="minorEastAsia"/>
                <w:sz w:val="21"/>
                <w:szCs w:val="21"/>
              </w:rPr>
              <w:t xml:space="preserve">  环境噪声质量现状监测数据一览表</w:t>
            </w:r>
          </w:p>
          <w:tbl>
            <w:tblPr>
              <w:tblStyle w:val="33"/>
              <w:tblW w:w="4996"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760"/>
              <w:gridCol w:w="2340"/>
              <w:gridCol w:w="1056"/>
              <w:gridCol w:w="607"/>
              <w:gridCol w:w="607"/>
              <w:gridCol w:w="1927"/>
              <w:gridCol w:w="101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7" w:type="pct"/>
                  <w:tcBorders>
                    <w:top w:val="single" w:color="000000" w:sz="4" w:space="0"/>
                    <w:bottom w:val="single" w:color="000000" w:sz="4" w:space="0"/>
                    <w:right w:val="single" w:color="000000" w:sz="4" w:space="0"/>
                  </w:tcBorders>
                  <w:vAlign w:val="center"/>
                </w:tcPr>
                <w:p>
                  <w:pPr>
                    <w:adjustRightInd w:val="0"/>
                    <w:snapToGrid w:val="0"/>
                    <w:jc w:val="center"/>
                    <w:rPr>
                      <w:rFonts w:cs="Times New Roman"/>
                      <w:bCs/>
                      <w:sz w:val="21"/>
                    </w:rPr>
                  </w:pPr>
                  <w:r>
                    <w:rPr>
                      <w:rFonts w:cs="Times New Roman"/>
                      <w:bCs/>
                      <w:sz w:val="21"/>
                    </w:rPr>
                    <w:t>编号</w:t>
                  </w:r>
                </w:p>
              </w:tc>
              <w:tc>
                <w:tcPr>
                  <w:tcW w:w="140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bCs/>
                      <w:sz w:val="21"/>
                    </w:rPr>
                  </w:pPr>
                  <w:r>
                    <w:rPr>
                      <w:rFonts w:cs="Times New Roman"/>
                      <w:bCs/>
                      <w:sz w:val="21"/>
                    </w:rPr>
                    <w:t>监测点</w:t>
                  </w:r>
                </w:p>
              </w:tc>
              <w:tc>
                <w:tcPr>
                  <w:tcW w:w="63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bCs/>
                      <w:sz w:val="21"/>
                    </w:rPr>
                  </w:pPr>
                  <w:r>
                    <w:rPr>
                      <w:rFonts w:cs="Times New Roman"/>
                      <w:bCs/>
                      <w:sz w:val="21"/>
                    </w:rPr>
                    <w:t>监测时间</w:t>
                  </w:r>
                </w:p>
              </w:tc>
              <w:tc>
                <w:tcPr>
                  <w:tcW w:w="3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bCs/>
                      <w:sz w:val="21"/>
                    </w:rPr>
                  </w:pPr>
                  <w:r>
                    <w:rPr>
                      <w:rFonts w:cs="Times New Roman"/>
                      <w:bCs/>
                      <w:sz w:val="21"/>
                    </w:rPr>
                    <w:t>昼间</w:t>
                  </w:r>
                </w:p>
              </w:tc>
              <w:tc>
                <w:tcPr>
                  <w:tcW w:w="3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bCs/>
                      <w:sz w:val="21"/>
                    </w:rPr>
                  </w:pPr>
                  <w:r>
                    <w:rPr>
                      <w:rFonts w:cs="Times New Roman"/>
                      <w:bCs/>
                      <w:sz w:val="21"/>
                    </w:rPr>
                    <w:t>夜间</w:t>
                  </w:r>
                </w:p>
              </w:tc>
              <w:tc>
                <w:tcPr>
                  <w:tcW w:w="115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bCs/>
                      <w:sz w:val="21"/>
                    </w:rPr>
                  </w:pPr>
                  <w:r>
                    <w:rPr>
                      <w:rFonts w:cs="Times New Roman"/>
                      <w:bCs/>
                      <w:sz w:val="21"/>
                    </w:rPr>
                    <w:t>标准</w:t>
                  </w:r>
                </w:p>
              </w:tc>
              <w:tc>
                <w:tcPr>
                  <w:tcW w:w="609" w:type="pct"/>
                  <w:tcBorders>
                    <w:top w:val="single" w:color="000000" w:sz="4" w:space="0"/>
                    <w:left w:val="single" w:color="000000" w:sz="4" w:space="0"/>
                    <w:bottom w:val="single" w:color="000000" w:sz="4" w:space="0"/>
                  </w:tcBorders>
                  <w:vAlign w:val="center"/>
                </w:tcPr>
                <w:p>
                  <w:pPr>
                    <w:adjustRightInd w:val="0"/>
                    <w:snapToGrid w:val="0"/>
                    <w:jc w:val="center"/>
                    <w:rPr>
                      <w:rFonts w:cs="Times New Roman"/>
                      <w:bCs/>
                      <w:sz w:val="21"/>
                    </w:rPr>
                  </w:pPr>
                  <w:r>
                    <w:rPr>
                      <w:rFonts w:cs="Times New Roman"/>
                      <w:bCs/>
                      <w:sz w:val="21"/>
                    </w:rPr>
                    <w:t>评价结果</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7" w:hRule="atLeast"/>
                <w:jc w:val="center"/>
              </w:trPr>
              <w:tc>
                <w:tcPr>
                  <w:tcW w:w="457" w:type="pct"/>
                  <w:vMerge w:val="restart"/>
                  <w:tcBorders>
                    <w:top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#1</w:t>
                  </w:r>
                </w:p>
              </w:tc>
              <w:tc>
                <w:tcPr>
                  <w:tcW w:w="1407"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厂界北面外1米处</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2020.9.27</w:t>
                  </w:r>
                </w:p>
              </w:tc>
              <w:tc>
                <w:tcPr>
                  <w:tcW w:w="36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56.9</w:t>
                  </w:r>
                </w:p>
              </w:tc>
              <w:tc>
                <w:tcPr>
                  <w:tcW w:w="36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46.1</w:t>
                  </w:r>
                </w:p>
              </w:tc>
              <w:tc>
                <w:tcPr>
                  <w:tcW w:w="1159"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70（昼），55（夜）</w:t>
                  </w:r>
                </w:p>
              </w:tc>
              <w:tc>
                <w:tcPr>
                  <w:tcW w:w="609" w:type="pct"/>
                  <w:vMerge w:val="restart"/>
                  <w:tcBorders>
                    <w:top w:val="single" w:color="000000" w:sz="4" w:space="0"/>
                    <w:left w:val="single" w:color="000000" w:sz="4" w:space="0"/>
                    <w:bottom w:val="single" w:color="000000" w:sz="4" w:space="0"/>
                  </w:tcBorders>
                  <w:vAlign w:val="center"/>
                </w:tcPr>
                <w:p>
                  <w:pPr>
                    <w:adjustRightInd w:val="0"/>
                    <w:snapToGrid w:val="0"/>
                    <w:jc w:val="center"/>
                    <w:rPr>
                      <w:rFonts w:cs="Times New Roman"/>
                      <w:sz w:val="21"/>
                    </w:rPr>
                  </w:pPr>
                  <w:r>
                    <w:rPr>
                      <w:rFonts w:cs="Times New Roman"/>
                      <w:sz w:val="21"/>
                    </w:rPr>
                    <w:t>达标</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58" w:hRule="atLeast"/>
                <w:jc w:val="center"/>
              </w:trPr>
              <w:tc>
                <w:tcPr>
                  <w:tcW w:w="457" w:type="pct"/>
                  <w:vMerge w:val="continue"/>
                  <w:tcBorders>
                    <w:bottom w:val="single" w:color="000000" w:sz="4" w:space="0"/>
                    <w:right w:val="single" w:color="000000" w:sz="4" w:space="0"/>
                  </w:tcBorders>
                  <w:vAlign w:val="center"/>
                </w:tcPr>
                <w:p>
                  <w:pPr>
                    <w:adjustRightInd w:val="0"/>
                    <w:snapToGrid w:val="0"/>
                    <w:jc w:val="center"/>
                    <w:rPr>
                      <w:rFonts w:cs="Times New Roman"/>
                      <w:sz w:val="21"/>
                    </w:rPr>
                  </w:pPr>
                </w:p>
              </w:tc>
              <w:tc>
                <w:tcPr>
                  <w:tcW w:w="1407" w:type="pct"/>
                  <w:vMerge w:val="continue"/>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rFonts w:cs="Times New Roman"/>
                      <w:sz w:val="21"/>
                    </w:rPr>
                  </w:pPr>
                </w:p>
              </w:tc>
              <w:tc>
                <w:tcPr>
                  <w:tcW w:w="635"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2020.9.28</w:t>
                  </w:r>
                </w:p>
              </w:tc>
              <w:tc>
                <w:tcPr>
                  <w:tcW w:w="365"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jc w:val="center"/>
                    <w:rPr>
                      <w:rFonts w:cs="Times New Roman"/>
                      <w:sz w:val="21"/>
                    </w:rPr>
                  </w:pPr>
                  <w:r>
                    <w:rPr>
                      <w:rFonts w:cs="Times New Roman"/>
                      <w:sz w:val="21"/>
                    </w:rPr>
                    <w:t>56.3</w:t>
                  </w:r>
                </w:p>
              </w:tc>
              <w:tc>
                <w:tcPr>
                  <w:tcW w:w="365"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jc w:val="center"/>
                    <w:rPr>
                      <w:rFonts w:cs="Times New Roman"/>
                      <w:sz w:val="21"/>
                    </w:rPr>
                  </w:pPr>
                  <w:r>
                    <w:rPr>
                      <w:rFonts w:cs="Times New Roman"/>
                      <w:sz w:val="21"/>
                    </w:rPr>
                    <w:t>47.7</w:t>
                  </w:r>
                </w:p>
              </w:tc>
              <w:tc>
                <w:tcPr>
                  <w:tcW w:w="1159" w:type="pct"/>
                  <w:vMerge w:val="continue"/>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rFonts w:cs="Times New Roman"/>
                      <w:sz w:val="21"/>
                    </w:rPr>
                  </w:pPr>
                </w:p>
              </w:tc>
              <w:tc>
                <w:tcPr>
                  <w:tcW w:w="609" w:type="pct"/>
                  <w:vMerge w:val="continue"/>
                  <w:tcBorders>
                    <w:top w:val="single" w:color="000000" w:sz="4" w:space="0"/>
                    <w:left w:val="single" w:color="000000" w:sz="4" w:space="0"/>
                    <w:bottom w:val="single" w:color="000000" w:sz="4" w:space="0"/>
                  </w:tcBorders>
                  <w:vAlign w:val="center"/>
                </w:tcPr>
                <w:p>
                  <w:pPr>
                    <w:adjustRightInd w:val="0"/>
                    <w:snapToGrid w:val="0"/>
                    <w:jc w:val="center"/>
                    <w:rPr>
                      <w:rFonts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7" w:type="pct"/>
                  <w:vMerge w:val="restart"/>
                  <w:tcBorders>
                    <w:top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#2</w:t>
                  </w:r>
                </w:p>
              </w:tc>
              <w:tc>
                <w:tcPr>
                  <w:tcW w:w="1407" w:type="pct"/>
                  <w:vMerge w:val="restart"/>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厂界东面外1米处</w:t>
                  </w:r>
                </w:p>
              </w:tc>
              <w:tc>
                <w:tcPr>
                  <w:tcW w:w="635" w:type="pct"/>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2020.9.27</w:t>
                  </w:r>
                </w:p>
              </w:tc>
              <w:tc>
                <w:tcPr>
                  <w:tcW w:w="365" w:type="pct"/>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57.3</w:t>
                  </w:r>
                </w:p>
              </w:tc>
              <w:tc>
                <w:tcPr>
                  <w:tcW w:w="365" w:type="pct"/>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46.2</w:t>
                  </w:r>
                </w:p>
              </w:tc>
              <w:tc>
                <w:tcPr>
                  <w:tcW w:w="1159" w:type="pct"/>
                  <w:vMerge w:val="restart"/>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65（昼），55（夜）</w:t>
                  </w:r>
                </w:p>
              </w:tc>
              <w:tc>
                <w:tcPr>
                  <w:tcW w:w="609" w:type="pct"/>
                  <w:vMerge w:val="continue"/>
                  <w:tcBorders>
                    <w:top w:val="single" w:color="000000" w:sz="4" w:space="0"/>
                    <w:left w:val="single" w:color="000000" w:sz="4" w:space="0"/>
                    <w:bottom w:val="single" w:color="000000" w:sz="4" w:space="0"/>
                  </w:tcBorders>
                  <w:vAlign w:val="center"/>
                </w:tcPr>
                <w:p>
                  <w:pPr>
                    <w:adjustRightInd w:val="0"/>
                    <w:snapToGrid w:val="0"/>
                    <w:jc w:val="center"/>
                    <w:rPr>
                      <w:rFonts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3" w:hRule="atLeast"/>
                <w:jc w:val="center"/>
              </w:trPr>
              <w:tc>
                <w:tcPr>
                  <w:tcW w:w="457" w:type="pct"/>
                  <w:vMerge w:val="continue"/>
                  <w:tcBorders>
                    <w:bottom w:val="single" w:color="000000" w:sz="4" w:space="0"/>
                    <w:right w:val="single" w:color="000000" w:sz="4" w:space="0"/>
                  </w:tcBorders>
                  <w:vAlign w:val="center"/>
                </w:tcPr>
                <w:p>
                  <w:pPr>
                    <w:adjustRightInd w:val="0"/>
                    <w:snapToGrid w:val="0"/>
                    <w:jc w:val="center"/>
                    <w:rPr>
                      <w:rFonts w:cs="Times New Roman"/>
                      <w:sz w:val="21"/>
                    </w:rPr>
                  </w:pPr>
                </w:p>
              </w:tc>
              <w:tc>
                <w:tcPr>
                  <w:tcW w:w="1407"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2020.9.28</w:t>
                  </w:r>
                </w:p>
              </w:tc>
              <w:tc>
                <w:tcPr>
                  <w:tcW w:w="36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56.7</w:t>
                  </w:r>
                </w:p>
              </w:tc>
              <w:tc>
                <w:tcPr>
                  <w:tcW w:w="365"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jc w:val="center"/>
                    <w:rPr>
                      <w:rFonts w:cs="Times New Roman"/>
                      <w:sz w:val="21"/>
                    </w:rPr>
                  </w:pPr>
                  <w:r>
                    <w:rPr>
                      <w:rFonts w:cs="Times New Roman"/>
                      <w:sz w:val="21"/>
                    </w:rPr>
                    <w:t>47.8</w:t>
                  </w:r>
                </w:p>
              </w:tc>
              <w:tc>
                <w:tcPr>
                  <w:tcW w:w="1159" w:type="pct"/>
                  <w:vMerge w:val="continue"/>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rFonts w:cs="Times New Roman"/>
                      <w:sz w:val="21"/>
                    </w:rPr>
                  </w:pPr>
                </w:p>
              </w:tc>
              <w:tc>
                <w:tcPr>
                  <w:tcW w:w="609" w:type="pct"/>
                  <w:vMerge w:val="continue"/>
                  <w:tcBorders>
                    <w:top w:val="single" w:color="000000" w:sz="4" w:space="0"/>
                    <w:left w:val="single" w:color="000000" w:sz="4" w:space="0"/>
                    <w:bottom w:val="single" w:color="000000" w:sz="4" w:space="0"/>
                  </w:tcBorders>
                  <w:vAlign w:val="center"/>
                </w:tcPr>
                <w:p>
                  <w:pPr>
                    <w:adjustRightInd w:val="0"/>
                    <w:snapToGrid w:val="0"/>
                    <w:jc w:val="center"/>
                    <w:rPr>
                      <w:rFonts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7" w:type="pct"/>
                  <w:vMerge w:val="restart"/>
                  <w:tcBorders>
                    <w:top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#3</w:t>
                  </w:r>
                </w:p>
              </w:tc>
              <w:tc>
                <w:tcPr>
                  <w:tcW w:w="1407"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厂界南面外1米处</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2020.9.27</w:t>
                  </w:r>
                </w:p>
              </w:tc>
              <w:tc>
                <w:tcPr>
                  <w:tcW w:w="3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56.8</w:t>
                  </w:r>
                </w:p>
              </w:tc>
              <w:tc>
                <w:tcPr>
                  <w:tcW w:w="365" w:type="pct"/>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45.3</w:t>
                  </w:r>
                </w:p>
              </w:tc>
              <w:tc>
                <w:tcPr>
                  <w:tcW w:w="1159" w:type="pct"/>
                  <w:vMerge w:val="restart"/>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65（昼），55（夜）</w:t>
                  </w:r>
                </w:p>
              </w:tc>
              <w:tc>
                <w:tcPr>
                  <w:tcW w:w="609" w:type="pct"/>
                  <w:vMerge w:val="continue"/>
                  <w:tcBorders>
                    <w:top w:val="single" w:color="000000" w:sz="4" w:space="0"/>
                    <w:left w:val="single" w:color="000000" w:sz="4" w:space="0"/>
                    <w:bottom w:val="single" w:color="000000" w:sz="4" w:space="0"/>
                  </w:tcBorders>
                  <w:vAlign w:val="center"/>
                </w:tcPr>
                <w:p>
                  <w:pPr>
                    <w:adjustRightInd w:val="0"/>
                    <w:snapToGrid w:val="0"/>
                    <w:jc w:val="center"/>
                    <w:rPr>
                      <w:rFonts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3" w:hRule="atLeast"/>
                <w:jc w:val="center"/>
              </w:trPr>
              <w:tc>
                <w:tcPr>
                  <w:tcW w:w="457" w:type="pct"/>
                  <w:vMerge w:val="continue"/>
                  <w:tcBorders>
                    <w:bottom w:val="single" w:color="000000" w:sz="4" w:space="0"/>
                    <w:right w:val="single" w:color="000000" w:sz="4" w:space="0"/>
                  </w:tcBorders>
                  <w:vAlign w:val="center"/>
                </w:tcPr>
                <w:p>
                  <w:pPr>
                    <w:adjustRightInd w:val="0"/>
                    <w:snapToGrid w:val="0"/>
                    <w:jc w:val="center"/>
                    <w:rPr>
                      <w:rFonts w:cs="Times New Roman"/>
                      <w:sz w:val="21"/>
                    </w:rPr>
                  </w:pPr>
                </w:p>
              </w:tc>
              <w:tc>
                <w:tcPr>
                  <w:tcW w:w="1407"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2020.9.28</w:t>
                  </w:r>
                </w:p>
              </w:tc>
              <w:tc>
                <w:tcPr>
                  <w:tcW w:w="3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57.0</w:t>
                  </w:r>
                </w:p>
              </w:tc>
              <w:tc>
                <w:tcPr>
                  <w:tcW w:w="365" w:type="pct"/>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rFonts w:cs="Times New Roman"/>
                      <w:sz w:val="21"/>
                    </w:rPr>
                  </w:pPr>
                  <w:r>
                    <w:rPr>
                      <w:rFonts w:cs="Times New Roman"/>
                      <w:sz w:val="21"/>
                    </w:rPr>
                    <w:t>46.6</w:t>
                  </w:r>
                </w:p>
              </w:tc>
              <w:tc>
                <w:tcPr>
                  <w:tcW w:w="1159" w:type="pct"/>
                  <w:vMerge w:val="continue"/>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rFonts w:cs="Times New Roman"/>
                      <w:sz w:val="21"/>
                    </w:rPr>
                  </w:pPr>
                </w:p>
              </w:tc>
              <w:tc>
                <w:tcPr>
                  <w:tcW w:w="609" w:type="pct"/>
                  <w:vMerge w:val="continue"/>
                  <w:tcBorders>
                    <w:top w:val="single" w:color="000000" w:sz="4" w:space="0"/>
                    <w:left w:val="single" w:color="000000" w:sz="4" w:space="0"/>
                    <w:bottom w:val="single" w:color="auto" w:sz="4" w:space="0"/>
                  </w:tcBorders>
                  <w:vAlign w:val="center"/>
                </w:tcPr>
                <w:p>
                  <w:pPr>
                    <w:adjustRightInd w:val="0"/>
                    <w:snapToGrid w:val="0"/>
                    <w:jc w:val="center"/>
                    <w:rPr>
                      <w:rFonts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3" w:hRule="atLeast"/>
                <w:jc w:val="center"/>
              </w:trPr>
              <w:tc>
                <w:tcPr>
                  <w:tcW w:w="457" w:type="pct"/>
                  <w:vMerge w:val="restart"/>
                  <w:tcBorders>
                    <w:top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#4</w:t>
                  </w:r>
                </w:p>
              </w:tc>
              <w:tc>
                <w:tcPr>
                  <w:tcW w:w="1407" w:type="pct"/>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厂界西面外1米处</w:t>
                  </w:r>
                </w:p>
              </w:tc>
              <w:tc>
                <w:tcPr>
                  <w:tcW w:w="635"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2020.9.27</w:t>
                  </w:r>
                </w:p>
              </w:tc>
              <w:tc>
                <w:tcPr>
                  <w:tcW w:w="3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57.7</w:t>
                  </w:r>
                </w:p>
              </w:tc>
              <w:tc>
                <w:tcPr>
                  <w:tcW w:w="365" w:type="pct"/>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44.8</w:t>
                  </w:r>
                </w:p>
              </w:tc>
              <w:tc>
                <w:tcPr>
                  <w:tcW w:w="1159" w:type="pct"/>
                  <w:vMerge w:val="restart"/>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65（昼），55（夜）</w:t>
                  </w:r>
                </w:p>
              </w:tc>
              <w:tc>
                <w:tcPr>
                  <w:tcW w:w="609" w:type="pct"/>
                  <w:vMerge w:val="restart"/>
                  <w:tcBorders>
                    <w:top w:val="single" w:color="auto" w:sz="4" w:space="0"/>
                    <w:left w:val="single" w:color="000000" w:sz="4" w:space="0"/>
                    <w:bottom w:val="single" w:color="000000" w:sz="4" w:space="0"/>
                  </w:tcBorders>
                  <w:vAlign w:val="center"/>
                </w:tcPr>
                <w:p>
                  <w:pPr>
                    <w:adjustRightInd w:val="0"/>
                    <w:snapToGrid w:val="0"/>
                    <w:jc w:val="center"/>
                    <w:rPr>
                      <w:rFonts w:cs="Times New Roman"/>
                      <w:sz w:val="21"/>
                    </w:rPr>
                  </w:pPr>
                  <w:r>
                    <w:rPr>
                      <w:rFonts w:cs="Times New Roman"/>
                      <w:sz w:val="21"/>
                    </w:rPr>
                    <w:t>达标</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3" w:hRule="atLeast"/>
                <w:jc w:val="center"/>
              </w:trPr>
              <w:tc>
                <w:tcPr>
                  <w:tcW w:w="457" w:type="pct"/>
                  <w:vMerge w:val="continue"/>
                  <w:tcBorders>
                    <w:top w:val="single" w:color="000000" w:sz="4" w:space="0"/>
                    <w:bottom w:val="single" w:color="auto" w:sz="4" w:space="0"/>
                    <w:right w:val="single" w:color="000000" w:sz="4" w:space="0"/>
                  </w:tcBorders>
                  <w:vAlign w:val="center"/>
                </w:tcPr>
                <w:p>
                  <w:pPr>
                    <w:adjustRightInd w:val="0"/>
                    <w:snapToGrid w:val="0"/>
                    <w:jc w:val="center"/>
                    <w:rPr>
                      <w:rFonts w:cs="Times New Roman"/>
                      <w:sz w:val="21"/>
                    </w:rPr>
                  </w:pPr>
                </w:p>
              </w:tc>
              <w:tc>
                <w:tcPr>
                  <w:tcW w:w="1407" w:type="pct"/>
                  <w:vMerge w:val="continue"/>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rFonts w:cs="Times New Roman"/>
                      <w:sz w:val="21"/>
                    </w:rPr>
                  </w:pPr>
                </w:p>
              </w:tc>
              <w:tc>
                <w:tcPr>
                  <w:tcW w:w="635" w:type="pct"/>
                  <w:tcBorders>
                    <w:top w:val="single" w:color="000000" w:sz="4" w:space="0"/>
                    <w:left w:val="single" w:color="000000" w:sz="4" w:space="0"/>
                    <w:bottom w:val="single" w:color="auto"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2020.9.28</w:t>
                  </w:r>
                </w:p>
              </w:tc>
              <w:tc>
                <w:tcPr>
                  <w:tcW w:w="365" w:type="pct"/>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rFonts w:cs="Times New Roman"/>
                      <w:sz w:val="21"/>
                    </w:rPr>
                  </w:pPr>
                  <w:r>
                    <w:rPr>
                      <w:rFonts w:cs="Times New Roman"/>
                      <w:sz w:val="21"/>
                    </w:rPr>
                    <w:t>57.1</w:t>
                  </w:r>
                </w:p>
              </w:tc>
              <w:tc>
                <w:tcPr>
                  <w:tcW w:w="365" w:type="pct"/>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45.5</w:t>
                  </w:r>
                </w:p>
              </w:tc>
              <w:tc>
                <w:tcPr>
                  <w:tcW w:w="1159" w:type="pct"/>
                  <w:vMerge w:val="continue"/>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p>
              </w:tc>
              <w:tc>
                <w:tcPr>
                  <w:tcW w:w="609" w:type="pct"/>
                  <w:vMerge w:val="continue"/>
                  <w:tcBorders>
                    <w:top w:val="single" w:color="auto" w:sz="4" w:space="0"/>
                    <w:left w:val="single" w:color="000000" w:sz="4" w:space="0"/>
                    <w:bottom w:val="single" w:color="000000" w:sz="4" w:space="0"/>
                  </w:tcBorders>
                  <w:vAlign w:val="center"/>
                </w:tcPr>
                <w:p>
                  <w:pPr>
                    <w:adjustRightInd w:val="0"/>
                    <w:snapToGrid w:val="0"/>
                    <w:jc w:val="center"/>
                    <w:rPr>
                      <w:rFonts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3" w:hRule="atLeast"/>
                <w:jc w:val="center"/>
              </w:trPr>
              <w:tc>
                <w:tcPr>
                  <w:tcW w:w="457" w:type="pct"/>
                  <w:vMerge w:val="restart"/>
                  <w:tcBorders>
                    <w:top w:val="single" w:color="auto" w:sz="4" w:space="0"/>
                    <w:right w:val="single" w:color="000000" w:sz="4" w:space="0"/>
                  </w:tcBorders>
                  <w:vAlign w:val="center"/>
                </w:tcPr>
                <w:p>
                  <w:pPr>
                    <w:adjustRightInd w:val="0"/>
                    <w:snapToGrid w:val="0"/>
                    <w:jc w:val="center"/>
                    <w:rPr>
                      <w:rFonts w:cs="Times New Roman"/>
                      <w:sz w:val="21"/>
                    </w:rPr>
                  </w:pPr>
                  <w:r>
                    <w:rPr>
                      <w:rFonts w:cs="Times New Roman"/>
                      <w:sz w:val="21"/>
                    </w:rPr>
                    <w:t>#5</w:t>
                  </w:r>
                </w:p>
              </w:tc>
              <w:tc>
                <w:tcPr>
                  <w:tcW w:w="1407" w:type="pct"/>
                  <w:vMerge w:val="restart"/>
                  <w:tcBorders>
                    <w:top w:val="single" w:color="auto" w:sz="4" w:space="0"/>
                    <w:left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项目地北侧70m的居民点</w:t>
                  </w:r>
                </w:p>
              </w:tc>
              <w:tc>
                <w:tcPr>
                  <w:tcW w:w="635" w:type="pct"/>
                  <w:tcBorders>
                    <w:top w:val="single" w:color="auto" w:sz="4" w:space="0"/>
                    <w:left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2020.9.27</w:t>
                  </w:r>
                </w:p>
              </w:tc>
              <w:tc>
                <w:tcPr>
                  <w:tcW w:w="365" w:type="pct"/>
                  <w:tcBorders>
                    <w:top w:val="single" w:color="auto" w:sz="4" w:space="0"/>
                    <w:left w:val="single" w:color="000000" w:sz="4" w:space="0"/>
                    <w:bottom w:val="single" w:color="auto" w:sz="4" w:space="0"/>
                    <w:right w:val="single" w:color="000000" w:sz="4" w:space="0"/>
                  </w:tcBorders>
                  <w:vAlign w:val="center"/>
                </w:tcPr>
                <w:p>
                  <w:pPr>
                    <w:adjustRightInd w:val="0"/>
                    <w:snapToGrid w:val="0"/>
                    <w:jc w:val="center"/>
                    <w:rPr>
                      <w:rFonts w:cs="Times New Roman"/>
                      <w:sz w:val="21"/>
                    </w:rPr>
                  </w:pPr>
                  <w:r>
                    <w:rPr>
                      <w:rFonts w:cs="Times New Roman"/>
                      <w:sz w:val="21"/>
                    </w:rPr>
                    <w:t>55.8</w:t>
                  </w:r>
                </w:p>
              </w:tc>
              <w:tc>
                <w:tcPr>
                  <w:tcW w:w="3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44.3</w:t>
                  </w:r>
                </w:p>
              </w:tc>
              <w:tc>
                <w:tcPr>
                  <w:tcW w:w="1159" w:type="pct"/>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p>
              </w:tc>
              <w:tc>
                <w:tcPr>
                  <w:tcW w:w="609" w:type="pct"/>
                  <w:vMerge w:val="continue"/>
                  <w:tcBorders>
                    <w:top w:val="single" w:color="000000" w:sz="4" w:space="0"/>
                    <w:left w:val="single" w:color="000000" w:sz="4" w:space="0"/>
                    <w:bottom w:val="single" w:color="000000" w:sz="4" w:space="0"/>
                  </w:tcBorders>
                  <w:vAlign w:val="center"/>
                </w:tcPr>
                <w:p>
                  <w:pPr>
                    <w:adjustRightInd w:val="0"/>
                    <w:snapToGrid w:val="0"/>
                    <w:jc w:val="center"/>
                    <w:rPr>
                      <w:rFonts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173" w:hRule="atLeast"/>
                <w:jc w:val="center"/>
              </w:trPr>
              <w:tc>
                <w:tcPr>
                  <w:tcW w:w="457" w:type="pct"/>
                  <w:vMerge w:val="continue"/>
                  <w:tcBorders>
                    <w:bottom w:val="single" w:color="000000" w:sz="4" w:space="0"/>
                    <w:right w:val="single" w:color="000000" w:sz="4" w:space="0"/>
                  </w:tcBorders>
                  <w:vAlign w:val="center"/>
                </w:tcPr>
                <w:p>
                  <w:pPr>
                    <w:adjustRightInd w:val="0"/>
                    <w:snapToGrid w:val="0"/>
                    <w:jc w:val="center"/>
                    <w:rPr>
                      <w:rFonts w:cs="Times New Roman"/>
                      <w:sz w:val="21"/>
                    </w:rPr>
                  </w:pPr>
                </w:p>
              </w:tc>
              <w:tc>
                <w:tcPr>
                  <w:tcW w:w="1407" w:type="pct"/>
                  <w:vMerge w:val="continue"/>
                  <w:tcBorders>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p>
              </w:tc>
              <w:tc>
                <w:tcPr>
                  <w:tcW w:w="635" w:type="pct"/>
                  <w:tcBorders>
                    <w:left w:val="single" w:color="000000"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2020.9.28</w:t>
                  </w:r>
                </w:p>
              </w:tc>
              <w:tc>
                <w:tcPr>
                  <w:tcW w:w="365" w:type="pct"/>
                  <w:tcBorders>
                    <w:top w:val="single" w:color="auto"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56.2</w:t>
                  </w:r>
                </w:p>
              </w:tc>
              <w:tc>
                <w:tcPr>
                  <w:tcW w:w="36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44.7</w:t>
                  </w:r>
                </w:p>
              </w:tc>
              <w:tc>
                <w:tcPr>
                  <w:tcW w:w="115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60（昼），50（夜）</w:t>
                  </w:r>
                </w:p>
              </w:tc>
              <w:tc>
                <w:tcPr>
                  <w:tcW w:w="609" w:type="pct"/>
                  <w:tcBorders>
                    <w:top w:val="single" w:color="000000" w:sz="4" w:space="0"/>
                    <w:left w:val="single" w:color="000000" w:sz="4" w:space="0"/>
                    <w:bottom w:val="single" w:color="000000" w:sz="4" w:space="0"/>
                  </w:tcBorders>
                  <w:vAlign w:val="center"/>
                </w:tcPr>
                <w:p>
                  <w:pPr>
                    <w:adjustRightInd w:val="0"/>
                    <w:snapToGrid w:val="0"/>
                    <w:jc w:val="center"/>
                    <w:rPr>
                      <w:rFonts w:cs="Times New Roman"/>
                      <w:sz w:val="21"/>
                    </w:rPr>
                  </w:pPr>
                  <w:r>
                    <w:rPr>
                      <w:rFonts w:cs="Times New Roman"/>
                      <w:sz w:val="21"/>
                    </w:rPr>
                    <w:t>达标</w:t>
                  </w:r>
                </w:p>
              </w:tc>
            </w:tr>
          </w:tbl>
          <w:p>
            <w:pPr>
              <w:pStyle w:val="15"/>
              <w:ind w:firstLine="480" w:firstLineChars="200"/>
              <w:jc w:val="both"/>
              <w:rPr>
                <w:rFonts w:cs="Times New Roman" w:eastAsiaTheme="minorEastAsia"/>
                <w:b w:val="0"/>
              </w:rPr>
            </w:pPr>
            <w:r>
              <w:rPr>
                <w:rFonts w:cs="Times New Roman" w:eastAsiaTheme="minorEastAsia"/>
                <w:b w:val="0"/>
              </w:rPr>
              <w:t>从监测数据可知，项目地东面、南面、西面声环境昼间、夜间均能达到了《声环境质量标准》（GB3096—2008）中的3类标准要求；项目的北面环境昼间、夜间均能达到《声环境质量标准》（GB3096—2008）中4a类标准要求；项目北侧70m处居民点环境昼间、夜间均能达到《声环境质量标准》（GB3096—2008）中2类标准要求。</w:t>
            </w:r>
          </w:p>
          <w:p>
            <w:pPr>
              <w:pStyle w:val="7"/>
              <w:rPr>
                <w:rFonts w:cs="Times New Roman" w:eastAsiaTheme="minorEastAsia"/>
                <w:color w:val="000000" w:themeColor="text1"/>
              </w:rPr>
            </w:pPr>
            <w:r>
              <w:rPr>
                <w:rFonts w:cs="Times New Roman" w:eastAsiaTheme="minorEastAsia"/>
                <w:color w:val="000000" w:themeColor="text1"/>
              </w:rPr>
              <w:t>土壤环境现状监测与评价</w:t>
            </w:r>
          </w:p>
          <w:p>
            <w:pPr>
              <w:spacing w:line="360" w:lineRule="auto"/>
              <w:ind w:firstLine="480"/>
              <w:rPr>
                <w:rFonts w:cs="Times New Roman"/>
                <w:color w:val="000000" w:themeColor="text1"/>
                <w:kern w:val="0"/>
                <w:szCs w:val="24"/>
              </w:rPr>
            </w:pPr>
            <w:r>
              <w:rPr>
                <w:rFonts w:cs="Times New Roman"/>
                <w:color w:val="000000" w:themeColor="text1"/>
                <w:kern w:val="0"/>
                <w:szCs w:val="24"/>
              </w:rPr>
              <w:t>根据《环境影响评价技术导则 土壤环境（试行）》（HJ 964-2018）中附录A项目类别可知，本项目为Ⅲ类项目，项目</w:t>
            </w:r>
            <w:r>
              <w:rPr>
                <w:rFonts w:hint="eastAsia" w:cs="Times New Roman"/>
                <w:color w:val="000000" w:themeColor="text1"/>
                <w:kern w:val="0"/>
                <w:szCs w:val="24"/>
              </w:rPr>
              <w:t>占地面积为</w:t>
            </w:r>
            <w:r>
              <w:rPr>
                <w:rFonts w:hint="eastAsia" w:cs="Times New Roman"/>
                <w:color w:val="000000" w:themeColor="text1"/>
              </w:rPr>
              <w:t>17438.23</w:t>
            </w:r>
            <w:r>
              <w:rPr>
                <w:rFonts w:cs="Times New Roman"/>
                <w:color w:val="000000" w:themeColor="text1"/>
              </w:rPr>
              <w:t>m</w:t>
            </w:r>
            <w:r>
              <w:rPr>
                <w:rFonts w:cs="Times New Roman"/>
                <w:color w:val="000000" w:themeColor="text1"/>
                <w:vertAlign w:val="superscript"/>
              </w:rPr>
              <w:t>2</w:t>
            </w:r>
            <w:r>
              <w:rPr>
                <w:rFonts w:cs="Times New Roman"/>
                <w:color w:val="000000" w:themeColor="text1"/>
                <w:kern w:val="0"/>
                <w:szCs w:val="24"/>
              </w:rPr>
              <w:t>（</w:t>
            </w:r>
            <w:r>
              <w:rPr>
                <w:rFonts w:hint="eastAsia" w:cs="Times New Roman"/>
                <w:color w:val="000000" w:themeColor="text1"/>
                <w:kern w:val="0"/>
                <w:szCs w:val="24"/>
              </w:rPr>
              <w:t>1.74</w:t>
            </w:r>
            <w:r>
              <w:rPr>
                <w:rFonts w:cs="Times New Roman"/>
                <w:snapToGrid w:val="0"/>
              </w:rPr>
              <w:t>hm</w:t>
            </w:r>
            <w:r>
              <w:rPr>
                <w:rFonts w:cs="Times New Roman"/>
                <w:snapToGrid w:val="0"/>
                <w:vertAlign w:val="superscript"/>
              </w:rPr>
              <w:t>2</w:t>
            </w:r>
            <w:r>
              <w:rPr>
                <w:rFonts w:cs="Times New Roman"/>
                <w:color w:val="000000" w:themeColor="text1"/>
                <w:kern w:val="0"/>
                <w:szCs w:val="24"/>
              </w:rPr>
              <w:t>）为</w:t>
            </w:r>
            <w:r>
              <w:rPr>
                <w:rFonts w:hint="eastAsia" w:cs="Times New Roman"/>
                <w:color w:val="000000" w:themeColor="text1"/>
                <w:kern w:val="0"/>
                <w:szCs w:val="24"/>
              </w:rPr>
              <w:t>小</w:t>
            </w:r>
            <w:r>
              <w:rPr>
                <w:rFonts w:cs="Times New Roman"/>
                <w:color w:val="000000" w:themeColor="text1"/>
                <w:kern w:val="0"/>
                <w:szCs w:val="24"/>
              </w:rPr>
              <w:t>型建设项目占地规模，周边无环境敏感目标，项目评价范围内土壤敏感程度为“不敏感”。因此，根据导则表4，本环评可不开展土壤环境影响评价。</w:t>
            </w:r>
          </w:p>
          <w:p>
            <w:pPr>
              <w:pStyle w:val="7"/>
              <w:rPr>
                <w:rFonts w:cs="Times New Roman" w:eastAsiaTheme="minorEastAsia"/>
              </w:rPr>
            </w:pPr>
            <w:r>
              <w:rPr>
                <w:rFonts w:cs="Times New Roman" w:eastAsiaTheme="minorEastAsia"/>
              </w:rPr>
              <w:t>生态环境</w:t>
            </w:r>
          </w:p>
          <w:p>
            <w:pPr>
              <w:spacing w:line="360" w:lineRule="auto"/>
              <w:ind w:firstLine="480" w:firstLineChars="200"/>
              <w:rPr>
                <w:rFonts w:cs="Times New Roman"/>
              </w:rPr>
            </w:pPr>
            <w:r>
              <w:rPr>
                <w:rFonts w:cs="Times New Roman"/>
                <w:szCs w:val="24"/>
              </w:rPr>
              <w:t>评价区位于城市地区，经走访了解到，评价区无大型动物，动物以城市生态系统常见动 物为主，比如：田鼠、蛇等。主要经济鱼类有草、青、鲢、鳙、鲤等；主要爬行动物有鳖、 乌龟、蟹等；主要家畜有牛、猪、羊等；主要家禽有鸡、鸭、鹅等。现场调查及走访未在项 目区附近范围内发现珍惜保护动物或地方特有动物。项目地周围植被多以草皮，城市绿化道， 如灌木、乔木、常绿松柏类等。</w:t>
            </w:r>
          </w:p>
          <w:p>
            <w:pPr>
              <w:pStyle w:val="7"/>
              <w:rPr>
                <w:rFonts w:cs="Times New Roman" w:eastAsiaTheme="minorEastAsia"/>
                <w:color w:val="000000" w:themeColor="text1"/>
              </w:rPr>
            </w:pPr>
            <w:r>
              <w:rPr>
                <w:rFonts w:cs="Times New Roman" w:eastAsiaTheme="minorEastAsia"/>
                <w:color w:val="000000" w:themeColor="text1"/>
              </w:rPr>
              <w:t>主要环境保护目标（列出名单及保护级别）：</w:t>
            </w:r>
          </w:p>
          <w:p>
            <w:pPr>
              <w:pStyle w:val="15"/>
              <w:ind w:firstLine="480" w:firstLineChars="200"/>
              <w:jc w:val="both"/>
              <w:rPr>
                <w:rFonts w:cs="Times New Roman" w:eastAsiaTheme="minorEastAsia"/>
                <w:b w:val="0"/>
                <w:color w:val="000000" w:themeColor="text1"/>
              </w:rPr>
            </w:pPr>
            <w:r>
              <w:rPr>
                <w:rFonts w:cs="Times New Roman" w:eastAsiaTheme="minorEastAsia"/>
                <w:b w:val="0"/>
                <w:color w:val="000000" w:themeColor="text1"/>
                <w:szCs w:val="24"/>
              </w:rPr>
              <w:t>根据现场调查，项目所在区域无自然保护区、风景名胜区等需要特殊保护的目标，本项目主要环境保护目标见</w:t>
            </w:r>
            <w:bookmarkStart w:id="7" w:name="_Ref469827888"/>
            <w:r>
              <w:rPr>
                <w:rFonts w:cs="Times New Roman" w:eastAsiaTheme="minorEastAsia"/>
                <w:b w:val="0"/>
                <w:color w:val="000000" w:themeColor="text1"/>
                <w:szCs w:val="24"/>
              </w:rPr>
              <w:t>环</w:t>
            </w:r>
            <w:r>
              <w:fldChar w:fldCharType="begin"/>
            </w:r>
            <w:r>
              <w:instrText xml:space="preserve"> REF _Ref483559083 \h  \* MERGEFORMAT </w:instrText>
            </w:r>
            <w:r>
              <w:fldChar w:fldCharType="separate"/>
            </w:r>
            <w:r>
              <w:rPr>
                <w:rFonts w:cs="Times New Roman" w:eastAsiaTheme="minorEastAsia"/>
                <w:b w:val="0"/>
                <w:color w:val="000000" w:themeColor="text1"/>
                <w:szCs w:val="24"/>
              </w:rPr>
              <w:t>表</w:t>
            </w:r>
            <w:r>
              <w:rPr>
                <w:rFonts w:cs="Times New Roman" w:eastAsiaTheme="minorEastAsia"/>
                <w:b w:val="0"/>
                <w:color w:val="000000" w:themeColor="text1"/>
                <w:szCs w:val="24"/>
              </w:rPr>
              <w:fldChar w:fldCharType="begin"/>
            </w:r>
            <w:r>
              <w:rPr>
                <w:rFonts w:cs="Times New Roman" w:eastAsiaTheme="minorEastAsia"/>
                <w:b w:val="0"/>
                <w:color w:val="000000" w:themeColor="text1"/>
                <w:szCs w:val="24"/>
              </w:rPr>
              <w:instrText xml:space="preserve"> STYLEREF</w:instrText>
            </w:r>
            <w:r>
              <w:rPr>
                <w:b w:val="0"/>
              </w:rPr>
              <w:instrText xml:space="preserve"> 2 \s </w:instrText>
            </w:r>
            <w:r>
              <w:rPr>
                <w:b w:val="0"/>
              </w:rPr>
              <w:fldChar w:fldCharType="separate"/>
            </w:r>
            <w:r>
              <w:rPr>
                <w:b w:val="0"/>
              </w:rPr>
              <w:t>3.2</w:t>
            </w:r>
            <w:r>
              <w:rPr>
                <w:b w:val="0"/>
              </w:rPr>
              <w:fldChar w:fldCharType="end"/>
            </w:r>
            <w:r>
              <w:rPr>
                <w:b w:val="0"/>
              </w:rPr>
              <w:noBreakHyphen/>
            </w:r>
            <w:r>
              <w:rPr>
                <w:b w:val="0"/>
              </w:rPr>
              <w:t>6</w:t>
            </w:r>
            <w:r>
              <w:rPr>
                <w:b w:val="0"/>
              </w:rPr>
              <w:fldChar w:fldCharType="end"/>
            </w:r>
            <w:r>
              <w:rPr>
                <w:rFonts w:hint="eastAsia" w:cs="Times New Roman" w:eastAsiaTheme="minorEastAsia"/>
                <w:b w:val="0"/>
                <w:color w:val="000000" w:themeColor="text1"/>
                <w:szCs w:val="24"/>
              </w:rPr>
              <w:t>~3.2-8</w:t>
            </w:r>
            <w:r>
              <w:rPr>
                <w:rFonts w:cs="Times New Roman" w:eastAsiaTheme="minorEastAsia"/>
                <w:b w:val="0"/>
                <w:color w:val="000000" w:themeColor="text1"/>
                <w:szCs w:val="24"/>
              </w:rPr>
              <w:t>。境保护目标图见附图3。</w:t>
            </w:r>
          </w:p>
          <w:p>
            <w:pPr>
              <w:pStyle w:val="15"/>
              <w:spacing w:line="240" w:lineRule="auto"/>
              <w:rPr>
                <w:rFonts w:cs="Times New Roman" w:eastAsiaTheme="minorEastAsia"/>
                <w:color w:val="000000" w:themeColor="text1"/>
                <w:sz w:val="21"/>
                <w:szCs w:val="21"/>
              </w:rPr>
            </w:pPr>
            <w:bookmarkStart w:id="8" w:name="_Ref483559083"/>
            <w:r>
              <w:rPr>
                <w:rFonts w:cs="Times New Roman" w:eastAsiaTheme="minorEastAsia"/>
                <w:color w:val="000000" w:themeColor="text1"/>
                <w:sz w:val="21"/>
                <w:szCs w:val="21"/>
              </w:rPr>
              <w:t>表</w:t>
            </w:r>
            <w:r>
              <w:rPr>
                <w:rFonts w:cs="Times New Roman" w:eastAsiaTheme="minorEastAsia"/>
                <w:color w:val="000000" w:themeColor="text1"/>
                <w:sz w:val="21"/>
                <w:szCs w:val="21"/>
              </w:rPr>
              <w:fldChar w:fldCharType="begin"/>
            </w:r>
            <w:r>
              <w:rPr>
                <w:rFonts w:cs="Times New Roman" w:eastAsiaTheme="minorEastAsia"/>
                <w:color w:val="000000" w:themeColor="text1"/>
                <w:sz w:val="21"/>
                <w:szCs w:val="21"/>
              </w:rPr>
              <w:instrText xml:space="preserve"> STYLEREF 2 \s </w:instrText>
            </w:r>
            <w:r>
              <w:rPr>
                <w:rFonts w:cs="Times New Roman" w:eastAsiaTheme="minorEastAsia"/>
                <w:color w:val="000000" w:themeColor="text1"/>
                <w:sz w:val="21"/>
                <w:szCs w:val="21"/>
              </w:rPr>
              <w:fldChar w:fldCharType="separate"/>
            </w:r>
            <w:r>
              <w:rPr>
                <w:rFonts w:cs="Times New Roman" w:eastAsiaTheme="minorEastAsia"/>
                <w:color w:val="000000" w:themeColor="text1"/>
                <w:sz w:val="21"/>
                <w:szCs w:val="21"/>
              </w:rPr>
              <w:t>3.2</w:t>
            </w:r>
            <w:r>
              <w:rPr>
                <w:rFonts w:cs="Times New Roman" w:eastAsiaTheme="minorEastAsia"/>
                <w:color w:val="000000" w:themeColor="text1"/>
                <w:sz w:val="21"/>
                <w:szCs w:val="21"/>
              </w:rPr>
              <w:fldChar w:fldCharType="end"/>
            </w:r>
            <w:r>
              <w:rPr>
                <w:rFonts w:cs="Times New Roman" w:eastAsiaTheme="minorEastAsia"/>
                <w:color w:val="000000" w:themeColor="text1"/>
                <w:sz w:val="21"/>
                <w:szCs w:val="21"/>
              </w:rPr>
              <w:noBreakHyphen/>
            </w:r>
            <w:r>
              <w:rPr>
                <w:rFonts w:cs="Times New Roman" w:eastAsiaTheme="minorEastAsia"/>
                <w:color w:val="000000" w:themeColor="text1"/>
                <w:sz w:val="21"/>
                <w:szCs w:val="21"/>
              </w:rPr>
              <w:fldChar w:fldCharType="begin"/>
            </w:r>
            <w:r>
              <w:rPr>
                <w:rFonts w:cs="Times New Roman" w:eastAsiaTheme="minorEastAsia"/>
                <w:color w:val="000000" w:themeColor="text1"/>
                <w:sz w:val="21"/>
                <w:szCs w:val="21"/>
              </w:rPr>
              <w:instrText xml:space="preserve"> SEQ 表 \* ARABIC \s 2 </w:instrText>
            </w:r>
            <w:r>
              <w:rPr>
                <w:rFonts w:cs="Times New Roman" w:eastAsiaTheme="minorEastAsia"/>
                <w:color w:val="000000" w:themeColor="text1"/>
                <w:sz w:val="21"/>
                <w:szCs w:val="21"/>
              </w:rPr>
              <w:fldChar w:fldCharType="separate"/>
            </w:r>
            <w:r>
              <w:rPr>
                <w:rFonts w:cs="Times New Roman" w:eastAsiaTheme="minorEastAsia"/>
                <w:color w:val="000000" w:themeColor="text1"/>
                <w:sz w:val="21"/>
                <w:szCs w:val="21"/>
              </w:rPr>
              <w:t>7</w:t>
            </w:r>
            <w:r>
              <w:rPr>
                <w:rFonts w:cs="Times New Roman" w:eastAsiaTheme="minorEastAsia"/>
                <w:color w:val="000000" w:themeColor="text1"/>
                <w:sz w:val="21"/>
                <w:szCs w:val="21"/>
              </w:rPr>
              <w:fldChar w:fldCharType="end"/>
            </w:r>
            <w:bookmarkEnd w:id="7"/>
            <w:bookmarkEnd w:id="8"/>
            <w:r>
              <w:rPr>
                <w:rFonts w:cs="Times New Roman" w:eastAsiaTheme="minorEastAsia"/>
                <w:color w:val="000000" w:themeColor="text1"/>
                <w:sz w:val="21"/>
                <w:szCs w:val="21"/>
              </w:rPr>
              <w:t xml:space="preserve"> 项目环境敏感保护目标一览表</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475"/>
              <w:gridCol w:w="1548"/>
              <w:gridCol w:w="1443"/>
              <w:gridCol w:w="845"/>
              <w:gridCol w:w="1838"/>
              <w:gridCol w:w="477"/>
              <w:gridCol w:w="464"/>
              <w:gridCol w:w="8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FFFFFF"/>
                  <w:vAlign w:val="center"/>
                </w:tcPr>
                <w:p>
                  <w:pPr>
                    <w:adjustRightInd w:val="0"/>
                    <w:snapToGrid w:val="0"/>
                    <w:spacing w:before="24"/>
                    <w:jc w:val="center"/>
                    <w:rPr>
                      <w:rFonts w:cs="Times New Roman"/>
                      <w:sz w:val="21"/>
                    </w:rPr>
                  </w:pPr>
                  <w:r>
                    <w:rPr>
                      <w:rFonts w:cs="Times New Roman"/>
                      <w:sz w:val="21"/>
                    </w:rPr>
                    <w:t>项目</w:t>
                  </w:r>
                </w:p>
              </w:tc>
              <w:tc>
                <w:tcPr>
                  <w:tcW w:w="516" w:type="dxa"/>
                  <w:vMerge w:val="restart"/>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名称</w:t>
                  </w:r>
                </w:p>
              </w:tc>
              <w:tc>
                <w:tcPr>
                  <w:tcW w:w="2991" w:type="dxa"/>
                  <w:gridSpan w:val="2"/>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坐标/m</w:t>
                  </w:r>
                </w:p>
              </w:tc>
              <w:tc>
                <w:tcPr>
                  <w:tcW w:w="1023" w:type="dxa"/>
                  <w:vMerge w:val="restart"/>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保护对象</w:t>
                  </w:r>
                </w:p>
              </w:tc>
              <w:tc>
                <w:tcPr>
                  <w:tcW w:w="1528" w:type="dxa"/>
                  <w:vMerge w:val="restart"/>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保护内容</w:t>
                  </w:r>
                </w:p>
              </w:tc>
              <w:tc>
                <w:tcPr>
                  <w:tcW w:w="521" w:type="dxa"/>
                  <w:vMerge w:val="restart"/>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环境功能区</w:t>
                  </w:r>
                </w:p>
              </w:tc>
              <w:tc>
                <w:tcPr>
                  <w:tcW w:w="497" w:type="dxa"/>
                  <w:vMerge w:val="restart"/>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相对厂址方位</w:t>
                  </w:r>
                </w:p>
              </w:tc>
              <w:tc>
                <w:tcPr>
                  <w:tcW w:w="800" w:type="dxa"/>
                  <w:vMerge w:val="restart"/>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相对厂界距离/m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426" w:type="dxa"/>
                  <w:vMerge w:val="continue"/>
                  <w:vAlign w:val="center"/>
                </w:tcPr>
                <w:p>
                  <w:pPr>
                    <w:widowControl/>
                    <w:adjustRightInd w:val="0"/>
                    <w:snapToGrid w:val="0"/>
                    <w:jc w:val="center"/>
                    <w:rPr>
                      <w:rFonts w:cs="Times New Roman"/>
                      <w:sz w:val="21"/>
                    </w:rPr>
                  </w:pPr>
                </w:p>
              </w:tc>
              <w:tc>
                <w:tcPr>
                  <w:tcW w:w="516" w:type="dxa"/>
                  <w:vMerge w:val="continue"/>
                  <w:vAlign w:val="center"/>
                </w:tcPr>
                <w:p>
                  <w:pPr>
                    <w:widowControl/>
                    <w:adjustRightInd w:val="0"/>
                    <w:snapToGrid w:val="0"/>
                    <w:jc w:val="center"/>
                    <w:rPr>
                      <w:rFonts w:cs="Times New Roman"/>
                      <w:color w:val="000000" w:themeColor="text1"/>
                      <w:sz w:val="21"/>
                    </w:rPr>
                  </w:pPr>
                </w:p>
              </w:tc>
              <w:tc>
                <w:tcPr>
                  <w:tcW w:w="1548" w:type="dxa"/>
                  <w:shd w:val="clear" w:color="auto" w:fill="FFFFFF"/>
                  <w:vAlign w:val="center"/>
                </w:tcPr>
                <w:p>
                  <w:pPr>
                    <w:adjustRightInd w:val="0"/>
                    <w:snapToGrid w:val="0"/>
                    <w:spacing w:before="24"/>
                    <w:jc w:val="center"/>
                    <w:rPr>
                      <w:rFonts w:cs="Times New Roman"/>
                      <w:iCs/>
                      <w:color w:val="000000" w:themeColor="text1"/>
                      <w:sz w:val="21"/>
                    </w:rPr>
                  </w:pPr>
                  <w:r>
                    <w:rPr>
                      <w:rFonts w:cs="Times New Roman"/>
                      <w:iCs/>
                      <w:color w:val="000000" w:themeColor="text1"/>
                      <w:sz w:val="21"/>
                    </w:rPr>
                    <w:t>X</w:t>
                  </w:r>
                </w:p>
              </w:tc>
              <w:tc>
                <w:tcPr>
                  <w:tcW w:w="1443" w:type="dxa"/>
                  <w:shd w:val="clear" w:color="auto" w:fill="FFFFFF"/>
                  <w:vAlign w:val="center"/>
                </w:tcPr>
                <w:p>
                  <w:pPr>
                    <w:adjustRightInd w:val="0"/>
                    <w:snapToGrid w:val="0"/>
                    <w:spacing w:before="24"/>
                    <w:jc w:val="center"/>
                    <w:rPr>
                      <w:rFonts w:cs="Times New Roman"/>
                      <w:iCs/>
                      <w:color w:val="000000" w:themeColor="text1"/>
                      <w:sz w:val="21"/>
                    </w:rPr>
                  </w:pPr>
                  <w:r>
                    <w:rPr>
                      <w:rFonts w:cs="Times New Roman"/>
                      <w:iCs/>
                      <w:color w:val="000000" w:themeColor="text1"/>
                      <w:sz w:val="21"/>
                    </w:rPr>
                    <w:t>Y</w:t>
                  </w:r>
                </w:p>
              </w:tc>
              <w:tc>
                <w:tcPr>
                  <w:tcW w:w="1023" w:type="dxa"/>
                  <w:vMerge w:val="continue"/>
                  <w:vAlign w:val="center"/>
                </w:tcPr>
                <w:p>
                  <w:pPr>
                    <w:widowControl/>
                    <w:adjustRightInd w:val="0"/>
                    <w:snapToGrid w:val="0"/>
                    <w:jc w:val="center"/>
                    <w:rPr>
                      <w:rFonts w:cs="Times New Roman"/>
                      <w:color w:val="000000" w:themeColor="text1"/>
                      <w:sz w:val="21"/>
                    </w:rPr>
                  </w:pPr>
                </w:p>
              </w:tc>
              <w:tc>
                <w:tcPr>
                  <w:tcW w:w="1528" w:type="dxa"/>
                  <w:vMerge w:val="continue"/>
                  <w:vAlign w:val="center"/>
                </w:tcPr>
                <w:p>
                  <w:pPr>
                    <w:widowControl/>
                    <w:adjustRightInd w:val="0"/>
                    <w:snapToGrid w:val="0"/>
                    <w:jc w:val="center"/>
                    <w:rPr>
                      <w:rFonts w:cs="Times New Roman"/>
                      <w:color w:val="000000" w:themeColor="text1"/>
                      <w:sz w:val="21"/>
                    </w:rPr>
                  </w:pPr>
                </w:p>
              </w:tc>
              <w:tc>
                <w:tcPr>
                  <w:tcW w:w="521" w:type="dxa"/>
                  <w:vMerge w:val="continue"/>
                  <w:vAlign w:val="center"/>
                </w:tcPr>
                <w:p>
                  <w:pPr>
                    <w:widowControl/>
                    <w:adjustRightInd w:val="0"/>
                    <w:snapToGrid w:val="0"/>
                    <w:jc w:val="center"/>
                    <w:rPr>
                      <w:rFonts w:cs="Times New Roman"/>
                      <w:color w:val="000000" w:themeColor="text1"/>
                      <w:sz w:val="21"/>
                    </w:rPr>
                  </w:pPr>
                </w:p>
              </w:tc>
              <w:tc>
                <w:tcPr>
                  <w:tcW w:w="497" w:type="dxa"/>
                  <w:vMerge w:val="continue"/>
                  <w:vAlign w:val="center"/>
                </w:tcPr>
                <w:p>
                  <w:pPr>
                    <w:widowControl/>
                    <w:adjustRightInd w:val="0"/>
                    <w:snapToGrid w:val="0"/>
                    <w:jc w:val="center"/>
                    <w:rPr>
                      <w:rFonts w:cs="Times New Roman"/>
                      <w:color w:val="000000" w:themeColor="text1"/>
                      <w:sz w:val="21"/>
                    </w:rPr>
                  </w:pPr>
                </w:p>
              </w:tc>
              <w:tc>
                <w:tcPr>
                  <w:tcW w:w="800" w:type="dxa"/>
                  <w:vMerge w:val="continue"/>
                  <w:vAlign w:val="center"/>
                </w:tcPr>
                <w:p>
                  <w:pPr>
                    <w:widowControl/>
                    <w:adjustRightInd w:val="0"/>
                    <w:snapToGrid w:val="0"/>
                    <w:jc w:val="center"/>
                    <w:rPr>
                      <w:rFonts w:cs="Times New Roman"/>
                      <w:color w:val="000000" w:themeColor="text1"/>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FFFFFF"/>
                  <w:vAlign w:val="center"/>
                </w:tcPr>
                <w:p>
                  <w:pPr>
                    <w:adjustRightInd w:val="0"/>
                    <w:snapToGrid w:val="0"/>
                    <w:spacing w:before="24"/>
                    <w:jc w:val="center"/>
                    <w:rPr>
                      <w:rFonts w:cs="Times New Roman"/>
                      <w:sz w:val="21"/>
                    </w:rPr>
                  </w:pPr>
                  <w:r>
                    <w:rPr>
                      <w:rFonts w:cs="Times New Roman"/>
                      <w:sz w:val="21"/>
                    </w:rPr>
                    <w:t>大气环境</w:t>
                  </w:r>
                </w:p>
              </w:tc>
              <w:tc>
                <w:tcPr>
                  <w:tcW w:w="516"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项目北侧两户居民</w:t>
                  </w:r>
                </w:p>
              </w:tc>
              <w:tc>
                <w:tcPr>
                  <w:tcW w:w="1548" w:type="dxa"/>
                  <w:shd w:val="clear" w:color="auto" w:fill="FFFFFF"/>
                  <w:vAlign w:val="center"/>
                </w:tcPr>
                <w:p>
                  <w:pPr>
                    <w:widowControl/>
                    <w:adjustRightInd w:val="0"/>
                    <w:snapToGrid w:val="0"/>
                    <w:spacing w:before="24"/>
                    <w:jc w:val="center"/>
                    <w:rPr>
                      <w:rFonts w:cs="Times New Roman"/>
                      <w:color w:val="000000" w:themeColor="text1"/>
                      <w:sz w:val="21"/>
                    </w:rPr>
                  </w:pPr>
                  <w:r>
                    <w:rPr>
                      <w:rFonts w:cs="Times New Roman"/>
                      <w:color w:val="000000" w:themeColor="text1"/>
                      <w:sz w:val="21"/>
                    </w:rPr>
                    <w:t>113°13'13.55"</w:t>
                  </w:r>
                </w:p>
              </w:tc>
              <w:tc>
                <w:tcPr>
                  <w:tcW w:w="1443" w:type="dxa"/>
                  <w:shd w:val="clear" w:color="auto" w:fill="FFFFFF"/>
                  <w:vAlign w:val="center"/>
                </w:tcPr>
                <w:p>
                  <w:pPr>
                    <w:adjustRightInd w:val="0"/>
                    <w:snapToGrid w:val="0"/>
                    <w:jc w:val="center"/>
                    <w:rPr>
                      <w:rFonts w:cs="Times New Roman"/>
                      <w:color w:val="000000" w:themeColor="text1"/>
                      <w:sz w:val="21"/>
                    </w:rPr>
                  </w:pPr>
                  <w:r>
                    <w:rPr>
                      <w:rFonts w:cs="Times New Roman"/>
                      <w:color w:val="000000" w:themeColor="text1"/>
                      <w:sz w:val="21"/>
                    </w:rPr>
                    <w:t>29°29'23.60"</w:t>
                  </w:r>
                </w:p>
              </w:tc>
              <w:tc>
                <w:tcPr>
                  <w:tcW w:w="1023" w:type="dxa"/>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居民，2户</w:t>
                  </w:r>
                </w:p>
              </w:tc>
              <w:tc>
                <w:tcPr>
                  <w:tcW w:w="1528" w:type="dxa"/>
                  <w:vMerge w:val="restart"/>
                  <w:shd w:val="clear" w:color="auto" w:fill="FFFFFF"/>
                  <w:vAlign w:val="center"/>
                </w:tcPr>
                <w:p>
                  <w:pPr>
                    <w:adjustRightInd w:val="0"/>
                    <w:snapToGrid w:val="0"/>
                    <w:spacing w:before="24"/>
                    <w:rPr>
                      <w:rFonts w:cs="Times New Roman"/>
                      <w:color w:val="000000" w:themeColor="text1"/>
                      <w:sz w:val="21"/>
                    </w:rPr>
                  </w:pPr>
                  <w:r>
                    <w:rPr>
                      <w:rFonts w:cs="Times New Roman"/>
                      <w:color w:val="000000" w:themeColor="text1"/>
                      <w:sz w:val="21"/>
                    </w:rPr>
                    <w:t>《环境空气质量标准》（GB3095-2012）二级</w:t>
                  </w:r>
                </w:p>
              </w:tc>
              <w:tc>
                <w:tcPr>
                  <w:tcW w:w="521" w:type="dxa"/>
                  <w:vMerge w:val="restart"/>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二类区</w:t>
                  </w:r>
                </w:p>
              </w:tc>
              <w:tc>
                <w:tcPr>
                  <w:tcW w:w="497"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北面</w:t>
                  </w:r>
                </w:p>
              </w:tc>
              <w:tc>
                <w:tcPr>
                  <w:tcW w:w="800"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70</w:t>
                  </w:r>
                  <w:r>
                    <w:rPr>
                      <w:rFonts w:hint="eastAsia" w:cs="Times New Roman"/>
                      <w:color w:val="000000" w:themeColor="text1"/>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FFFFFF"/>
                  <w:vAlign w:val="center"/>
                </w:tcPr>
                <w:p>
                  <w:pPr>
                    <w:adjustRightInd w:val="0"/>
                    <w:snapToGrid w:val="0"/>
                    <w:spacing w:before="24"/>
                    <w:jc w:val="center"/>
                    <w:rPr>
                      <w:rFonts w:cs="Times New Roman"/>
                      <w:sz w:val="21"/>
                    </w:rPr>
                  </w:pPr>
                </w:p>
              </w:tc>
              <w:tc>
                <w:tcPr>
                  <w:tcW w:w="516"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三五一七公租房</w:t>
                  </w:r>
                </w:p>
              </w:tc>
              <w:tc>
                <w:tcPr>
                  <w:tcW w:w="1548" w:type="dxa"/>
                  <w:shd w:val="clear" w:color="auto" w:fill="FFFFFF"/>
                  <w:vAlign w:val="center"/>
                </w:tcPr>
                <w:p>
                  <w:pPr>
                    <w:widowControl/>
                    <w:adjustRightInd w:val="0"/>
                    <w:snapToGrid w:val="0"/>
                    <w:spacing w:before="24"/>
                    <w:jc w:val="center"/>
                    <w:rPr>
                      <w:rFonts w:cs="Times New Roman"/>
                      <w:color w:val="000000" w:themeColor="text1"/>
                      <w:sz w:val="21"/>
                    </w:rPr>
                  </w:pPr>
                  <w:r>
                    <w:rPr>
                      <w:rFonts w:cs="Times New Roman"/>
                      <w:color w:val="000000" w:themeColor="text1"/>
                      <w:sz w:val="21"/>
                    </w:rPr>
                    <w:t>113°12'49.36"</w:t>
                  </w:r>
                </w:p>
              </w:tc>
              <w:tc>
                <w:tcPr>
                  <w:tcW w:w="1443" w:type="dxa"/>
                  <w:shd w:val="clear" w:color="auto" w:fill="FFFFFF"/>
                  <w:vAlign w:val="center"/>
                </w:tcPr>
                <w:p>
                  <w:pPr>
                    <w:adjustRightInd w:val="0"/>
                    <w:snapToGrid w:val="0"/>
                    <w:jc w:val="center"/>
                    <w:rPr>
                      <w:rFonts w:cs="Times New Roman"/>
                      <w:color w:val="000000" w:themeColor="text1"/>
                      <w:sz w:val="21"/>
                    </w:rPr>
                  </w:pPr>
                  <w:r>
                    <w:rPr>
                      <w:rFonts w:cs="Times New Roman"/>
                      <w:color w:val="000000" w:themeColor="text1"/>
                      <w:sz w:val="21"/>
                    </w:rPr>
                    <w:t>29°29'11.44"</w:t>
                  </w:r>
                </w:p>
                <w:p>
                  <w:pPr>
                    <w:widowControl/>
                    <w:adjustRightInd w:val="0"/>
                    <w:snapToGrid w:val="0"/>
                    <w:spacing w:before="24"/>
                    <w:jc w:val="center"/>
                    <w:rPr>
                      <w:rFonts w:cs="Times New Roman"/>
                      <w:color w:val="000000" w:themeColor="text1"/>
                      <w:sz w:val="21"/>
                    </w:rPr>
                  </w:pPr>
                </w:p>
              </w:tc>
              <w:tc>
                <w:tcPr>
                  <w:tcW w:w="1023" w:type="dxa"/>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居民，50户</w:t>
                  </w:r>
                </w:p>
              </w:tc>
              <w:tc>
                <w:tcPr>
                  <w:tcW w:w="1528"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521"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497"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东南</w:t>
                  </w:r>
                </w:p>
              </w:tc>
              <w:tc>
                <w:tcPr>
                  <w:tcW w:w="800"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273</w:t>
                  </w:r>
                  <w:r>
                    <w:rPr>
                      <w:rFonts w:hint="eastAsia" w:cs="Times New Roman"/>
                      <w:color w:val="000000" w:themeColor="text1"/>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widowControl/>
                    <w:adjustRightInd w:val="0"/>
                    <w:snapToGrid w:val="0"/>
                    <w:jc w:val="center"/>
                    <w:rPr>
                      <w:rFonts w:cs="Times New Roman"/>
                      <w:sz w:val="21"/>
                    </w:rPr>
                  </w:pPr>
                </w:p>
              </w:tc>
              <w:tc>
                <w:tcPr>
                  <w:tcW w:w="516"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邱家</w:t>
                  </w:r>
                </w:p>
              </w:tc>
              <w:tc>
                <w:tcPr>
                  <w:tcW w:w="1548"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113°12'50.84"</w:t>
                  </w:r>
                </w:p>
              </w:tc>
              <w:tc>
                <w:tcPr>
                  <w:tcW w:w="1443"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29°29'31.36"</w:t>
                  </w:r>
                </w:p>
              </w:tc>
              <w:tc>
                <w:tcPr>
                  <w:tcW w:w="1023" w:type="dxa"/>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居民，15户</w:t>
                  </w:r>
                </w:p>
              </w:tc>
              <w:tc>
                <w:tcPr>
                  <w:tcW w:w="1528"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521"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497"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东北</w:t>
                  </w:r>
                </w:p>
              </w:tc>
              <w:tc>
                <w:tcPr>
                  <w:tcW w:w="800"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343</w:t>
                  </w:r>
                  <w:r>
                    <w:rPr>
                      <w:rFonts w:hint="eastAsia" w:cs="Times New Roman"/>
                      <w:color w:val="000000" w:themeColor="text1"/>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widowControl/>
                    <w:adjustRightInd w:val="0"/>
                    <w:snapToGrid w:val="0"/>
                    <w:jc w:val="center"/>
                    <w:rPr>
                      <w:rFonts w:cs="Times New Roman"/>
                      <w:sz w:val="21"/>
                    </w:rPr>
                  </w:pPr>
                </w:p>
              </w:tc>
              <w:tc>
                <w:tcPr>
                  <w:tcW w:w="516"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金家垄</w:t>
                  </w:r>
                </w:p>
              </w:tc>
              <w:tc>
                <w:tcPr>
                  <w:tcW w:w="1548"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113°12'49.64"</w:t>
                  </w:r>
                </w:p>
              </w:tc>
              <w:tc>
                <w:tcPr>
                  <w:tcW w:w="1443"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29°29'01.75"</w:t>
                  </w:r>
                </w:p>
              </w:tc>
              <w:tc>
                <w:tcPr>
                  <w:tcW w:w="1023" w:type="dxa"/>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居民，10户</w:t>
                  </w:r>
                </w:p>
              </w:tc>
              <w:tc>
                <w:tcPr>
                  <w:tcW w:w="1528"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521"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497" w:type="dxa"/>
                  <w:shd w:val="clear" w:color="auto" w:fill="FFFFFF"/>
                  <w:vAlign w:val="center"/>
                </w:tcPr>
                <w:p>
                  <w:pPr>
                    <w:widowControl/>
                    <w:adjustRightInd w:val="0"/>
                    <w:snapToGrid w:val="0"/>
                    <w:rPr>
                      <w:rFonts w:cs="Times New Roman"/>
                      <w:color w:val="000000" w:themeColor="text1"/>
                      <w:sz w:val="21"/>
                    </w:rPr>
                  </w:pPr>
                  <w:r>
                    <w:rPr>
                      <w:rFonts w:cs="Times New Roman"/>
                      <w:color w:val="000000" w:themeColor="text1"/>
                      <w:sz w:val="21"/>
                    </w:rPr>
                    <w:t>西南</w:t>
                  </w:r>
                </w:p>
              </w:tc>
              <w:tc>
                <w:tcPr>
                  <w:tcW w:w="800"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982</w:t>
                  </w:r>
                  <w:r>
                    <w:rPr>
                      <w:rFonts w:hint="eastAsia" w:cs="Times New Roman"/>
                      <w:color w:val="000000" w:themeColor="text1"/>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widowControl/>
                    <w:adjustRightInd w:val="0"/>
                    <w:snapToGrid w:val="0"/>
                    <w:jc w:val="center"/>
                    <w:rPr>
                      <w:rFonts w:cs="Times New Roman"/>
                      <w:sz w:val="21"/>
                    </w:rPr>
                  </w:pPr>
                </w:p>
              </w:tc>
              <w:tc>
                <w:tcPr>
                  <w:tcW w:w="516"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茅岭头社区</w:t>
                  </w:r>
                </w:p>
              </w:tc>
              <w:tc>
                <w:tcPr>
                  <w:tcW w:w="1548"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113°12'19.51"</w:t>
                  </w:r>
                </w:p>
              </w:tc>
              <w:tc>
                <w:tcPr>
                  <w:tcW w:w="1443"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29°29'26.30"</w:t>
                  </w:r>
                </w:p>
              </w:tc>
              <w:tc>
                <w:tcPr>
                  <w:tcW w:w="1023" w:type="dxa"/>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居民，10户</w:t>
                  </w:r>
                </w:p>
              </w:tc>
              <w:tc>
                <w:tcPr>
                  <w:tcW w:w="1528"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521"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497"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西南</w:t>
                  </w:r>
                </w:p>
              </w:tc>
              <w:tc>
                <w:tcPr>
                  <w:tcW w:w="800"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874</w:t>
                  </w:r>
                  <w:r>
                    <w:rPr>
                      <w:rFonts w:hint="eastAsia" w:cs="Times New Roman"/>
                      <w:color w:val="000000" w:themeColor="text1"/>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widowControl/>
                    <w:adjustRightInd w:val="0"/>
                    <w:snapToGrid w:val="0"/>
                    <w:jc w:val="center"/>
                    <w:rPr>
                      <w:rFonts w:cs="Times New Roman"/>
                      <w:sz w:val="21"/>
                    </w:rPr>
                  </w:pPr>
                </w:p>
              </w:tc>
              <w:tc>
                <w:tcPr>
                  <w:tcW w:w="516"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王家屋场</w:t>
                  </w:r>
                </w:p>
              </w:tc>
              <w:tc>
                <w:tcPr>
                  <w:tcW w:w="1548"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113°12'24.38"</w:t>
                  </w:r>
                </w:p>
              </w:tc>
              <w:tc>
                <w:tcPr>
                  <w:tcW w:w="1443"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29°29'01.01"</w:t>
                  </w:r>
                </w:p>
              </w:tc>
              <w:tc>
                <w:tcPr>
                  <w:tcW w:w="1023" w:type="dxa"/>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居民，40户</w:t>
                  </w:r>
                </w:p>
              </w:tc>
              <w:tc>
                <w:tcPr>
                  <w:tcW w:w="1528"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521"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497"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西南</w:t>
                  </w:r>
                </w:p>
              </w:tc>
              <w:tc>
                <w:tcPr>
                  <w:tcW w:w="800"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1254</w:t>
                  </w:r>
                  <w:r>
                    <w:rPr>
                      <w:rFonts w:hint="eastAsia" w:cs="Times New Roman"/>
                      <w:color w:val="000000" w:themeColor="text1"/>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widowControl/>
                    <w:adjustRightInd w:val="0"/>
                    <w:snapToGrid w:val="0"/>
                    <w:jc w:val="center"/>
                    <w:rPr>
                      <w:rFonts w:cs="Times New Roman"/>
                      <w:sz w:val="21"/>
                    </w:rPr>
                  </w:pPr>
                </w:p>
              </w:tc>
              <w:tc>
                <w:tcPr>
                  <w:tcW w:w="516" w:type="dxa"/>
                  <w:shd w:val="clear" w:color="auto" w:fill="FFFFFF"/>
                  <w:vAlign w:val="center"/>
                </w:tcPr>
                <w:p>
                  <w:pPr>
                    <w:widowControl/>
                    <w:adjustRightInd w:val="0"/>
                    <w:snapToGrid w:val="0"/>
                    <w:rPr>
                      <w:rFonts w:cs="Times New Roman"/>
                      <w:color w:val="000000" w:themeColor="text1"/>
                      <w:sz w:val="21"/>
                    </w:rPr>
                  </w:pPr>
                  <w:r>
                    <w:rPr>
                      <w:rFonts w:cs="Times New Roman"/>
                      <w:color w:val="000000" w:themeColor="text1"/>
                      <w:sz w:val="21"/>
                    </w:rPr>
                    <w:t>杨树港村</w:t>
                  </w:r>
                </w:p>
              </w:tc>
              <w:tc>
                <w:tcPr>
                  <w:tcW w:w="1548"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113°12'01.67"</w:t>
                  </w:r>
                </w:p>
              </w:tc>
              <w:tc>
                <w:tcPr>
                  <w:tcW w:w="1443" w:type="dxa"/>
                  <w:shd w:val="clear" w:color="auto" w:fill="FFFFFF"/>
                  <w:vAlign w:val="center"/>
                </w:tcPr>
                <w:p>
                  <w:pPr>
                    <w:widowControl/>
                    <w:adjustRightInd w:val="0"/>
                    <w:snapToGrid w:val="0"/>
                    <w:jc w:val="center"/>
                    <w:textAlignment w:val="center"/>
                    <w:rPr>
                      <w:rFonts w:cs="Times New Roman"/>
                      <w:kern w:val="0"/>
                      <w:sz w:val="21"/>
                    </w:rPr>
                  </w:pPr>
                  <w:r>
                    <w:rPr>
                      <w:rFonts w:cs="Times New Roman"/>
                      <w:kern w:val="0"/>
                      <w:sz w:val="21"/>
                    </w:rPr>
                    <w:t>29°28'42.72"</w:t>
                  </w:r>
                </w:p>
              </w:tc>
              <w:tc>
                <w:tcPr>
                  <w:tcW w:w="1023" w:type="dxa"/>
                  <w:shd w:val="clear" w:color="auto" w:fill="FFFFFF"/>
                  <w:vAlign w:val="center"/>
                </w:tcPr>
                <w:p>
                  <w:pPr>
                    <w:adjustRightInd w:val="0"/>
                    <w:snapToGrid w:val="0"/>
                    <w:spacing w:before="24"/>
                    <w:jc w:val="center"/>
                    <w:rPr>
                      <w:rFonts w:cs="Times New Roman"/>
                      <w:color w:val="000000" w:themeColor="text1"/>
                      <w:sz w:val="21"/>
                    </w:rPr>
                  </w:pPr>
                  <w:r>
                    <w:rPr>
                      <w:rFonts w:cs="Times New Roman"/>
                      <w:color w:val="000000" w:themeColor="text1"/>
                      <w:sz w:val="21"/>
                    </w:rPr>
                    <w:t>居民，100户</w:t>
                  </w:r>
                </w:p>
              </w:tc>
              <w:tc>
                <w:tcPr>
                  <w:tcW w:w="1528"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521"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497"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西南</w:t>
                  </w:r>
                </w:p>
              </w:tc>
              <w:tc>
                <w:tcPr>
                  <w:tcW w:w="800" w:type="dxa"/>
                  <w:shd w:val="clear" w:color="auto" w:fill="FFFFFF"/>
                  <w:vAlign w:val="center"/>
                </w:tcPr>
                <w:p>
                  <w:pPr>
                    <w:widowControl/>
                    <w:adjustRightInd w:val="0"/>
                    <w:snapToGrid w:val="0"/>
                    <w:jc w:val="center"/>
                    <w:rPr>
                      <w:rFonts w:cs="Times New Roman"/>
                      <w:color w:val="000000" w:themeColor="text1"/>
                      <w:sz w:val="21"/>
                    </w:rPr>
                  </w:pPr>
                  <w:r>
                    <w:rPr>
                      <w:rFonts w:cs="Times New Roman"/>
                      <w:color w:val="000000" w:themeColor="text1"/>
                      <w:sz w:val="21"/>
                    </w:rPr>
                    <w:t>1997</w:t>
                  </w:r>
                  <w:r>
                    <w:rPr>
                      <w:rFonts w:hint="eastAsia" w:cs="Times New Roman"/>
                      <w:color w:val="000000" w:themeColor="text1"/>
                      <w:sz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6" w:type="dxa"/>
                  <w:vMerge w:val="continue"/>
                  <w:vAlign w:val="center"/>
                </w:tcPr>
                <w:p>
                  <w:pPr>
                    <w:widowControl/>
                    <w:adjustRightInd w:val="0"/>
                    <w:snapToGrid w:val="0"/>
                    <w:jc w:val="center"/>
                    <w:rPr>
                      <w:rFonts w:cs="Times New Roman"/>
                      <w:sz w:val="21"/>
                    </w:rPr>
                  </w:pPr>
                </w:p>
              </w:tc>
              <w:tc>
                <w:tcPr>
                  <w:tcW w:w="516" w:type="dxa"/>
                  <w:shd w:val="clear" w:color="auto" w:fill="FFFFFF"/>
                  <w:vAlign w:val="center"/>
                </w:tcPr>
                <w:p>
                  <w:pPr>
                    <w:widowControl/>
                    <w:adjustRightInd w:val="0"/>
                    <w:snapToGrid w:val="0"/>
                    <w:rPr>
                      <w:rFonts w:cs="Times New Roman"/>
                      <w:color w:val="000000" w:themeColor="text1"/>
                      <w:sz w:val="21"/>
                    </w:rPr>
                  </w:pPr>
                  <w:r>
                    <w:rPr>
                      <w:rFonts w:hint="eastAsia" w:hAnsi="宋体" w:eastAsia="宋体" w:cs="Times New Roman"/>
                      <w:color w:val="000000" w:themeColor="text1"/>
                      <w:sz w:val="21"/>
                    </w:rPr>
                    <w:t>龙安寺附近居民</w:t>
                  </w:r>
                </w:p>
              </w:tc>
              <w:tc>
                <w:tcPr>
                  <w:tcW w:w="1548" w:type="dxa"/>
                  <w:shd w:val="clear" w:color="auto" w:fill="FFFFFF"/>
                  <w:vAlign w:val="center"/>
                </w:tcPr>
                <w:p>
                  <w:pPr>
                    <w:widowControl/>
                    <w:adjustRightInd w:val="0"/>
                    <w:snapToGrid w:val="0"/>
                    <w:jc w:val="center"/>
                    <w:textAlignment w:val="center"/>
                    <w:rPr>
                      <w:rFonts w:cs="Times New Roman"/>
                      <w:color w:val="000000" w:themeColor="text1"/>
                      <w:kern w:val="0"/>
                      <w:sz w:val="21"/>
                    </w:rPr>
                  </w:pPr>
                  <w:r>
                    <w:rPr>
                      <w:rFonts w:hint="eastAsia" w:eastAsia="宋体" w:cs="Times New Roman"/>
                      <w:color w:val="000000" w:themeColor="text1"/>
                      <w:kern w:val="0"/>
                      <w:sz w:val="21"/>
                    </w:rPr>
                    <w:t>113°12'32.26"</w:t>
                  </w:r>
                </w:p>
              </w:tc>
              <w:tc>
                <w:tcPr>
                  <w:tcW w:w="1443" w:type="dxa"/>
                  <w:shd w:val="clear" w:color="auto" w:fill="FFFFFF"/>
                  <w:vAlign w:val="center"/>
                </w:tcPr>
                <w:p>
                  <w:pPr>
                    <w:widowControl/>
                    <w:adjustRightInd w:val="0"/>
                    <w:snapToGrid w:val="0"/>
                    <w:jc w:val="center"/>
                    <w:textAlignment w:val="center"/>
                    <w:rPr>
                      <w:rFonts w:cs="Times New Roman"/>
                      <w:color w:val="000000" w:themeColor="text1"/>
                      <w:kern w:val="0"/>
                      <w:sz w:val="21"/>
                    </w:rPr>
                  </w:pPr>
                  <w:r>
                    <w:rPr>
                      <w:rFonts w:hint="eastAsia" w:eastAsia="宋体" w:cs="Times New Roman"/>
                      <w:color w:val="000000" w:themeColor="text1"/>
                      <w:kern w:val="0"/>
                      <w:sz w:val="21"/>
                    </w:rPr>
                    <w:t>29°28'40.74"</w:t>
                  </w:r>
                </w:p>
              </w:tc>
              <w:tc>
                <w:tcPr>
                  <w:tcW w:w="1023" w:type="dxa"/>
                  <w:shd w:val="clear" w:color="auto" w:fill="FFFFFF"/>
                  <w:vAlign w:val="center"/>
                </w:tcPr>
                <w:p>
                  <w:pPr>
                    <w:adjustRightInd w:val="0"/>
                    <w:snapToGrid w:val="0"/>
                    <w:spacing w:before="24"/>
                    <w:jc w:val="center"/>
                    <w:rPr>
                      <w:rFonts w:cs="Times New Roman"/>
                      <w:color w:val="000000" w:themeColor="text1"/>
                      <w:sz w:val="21"/>
                    </w:rPr>
                  </w:pPr>
                  <w:r>
                    <w:rPr>
                      <w:rFonts w:hAnsi="宋体" w:eastAsia="宋体" w:cs="Times New Roman"/>
                      <w:color w:val="000000" w:themeColor="text1"/>
                      <w:sz w:val="21"/>
                    </w:rPr>
                    <w:t>居民，</w:t>
                  </w:r>
                  <w:r>
                    <w:rPr>
                      <w:rFonts w:eastAsia="宋体" w:cs="Times New Roman"/>
                      <w:color w:val="000000" w:themeColor="text1"/>
                      <w:sz w:val="21"/>
                    </w:rPr>
                    <w:t>10</w:t>
                  </w:r>
                  <w:r>
                    <w:rPr>
                      <w:rFonts w:hAnsi="宋体" w:eastAsia="宋体" w:cs="Times New Roman"/>
                      <w:color w:val="000000" w:themeColor="text1"/>
                      <w:sz w:val="21"/>
                    </w:rPr>
                    <w:t>户</w:t>
                  </w:r>
                </w:p>
              </w:tc>
              <w:tc>
                <w:tcPr>
                  <w:tcW w:w="1528"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521" w:type="dxa"/>
                  <w:vMerge w:val="continue"/>
                  <w:shd w:val="clear" w:color="auto" w:fill="FFFFFF"/>
                  <w:vAlign w:val="center"/>
                </w:tcPr>
                <w:p>
                  <w:pPr>
                    <w:adjustRightInd w:val="0"/>
                    <w:snapToGrid w:val="0"/>
                    <w:spacing w:before="24"/>
                    <w:jc w:val="center"/>
                    <w:rPr>
                      <w:rFonts w:cs="Times New Roman"/>
                      <w:color w:val="000000" w:themeColor="text1"/>
                      <w:sz w:val="21"/>
                    </w:rPr>
                  </w:pPr>
                </w:p>
              </w:tc>
              <w:tc>
                <w:tcPr>
                  <w:tcW w:w="497" w:type="dxa"/>
                  <w:shd w:val="clear" w:color="auto" w:fill="FFFFFF"/>
                  <w:vAlign w:val="center"/>
                </w:tcPr>
                <w:p>
                  <w:pPr>
                    <w:widowControl/>
                    <w:adjustRightInd w:val="0"/>
                    <w:snapToGrid w:val="0"/>
                    <w:jc w:val="center"/>
                    <w:rPr>
                      <w:rFonts w:cs="Times New Roman"/>
                      <w:color w:val="000000" w:themeColor="text1"/>
                      <w:sz w:val="21"/>
                    </w:rPr>
                  </w:pPr>
                  <w:r>
                    <w:rPr>
                      <w:rFonts w:hAnsi="宋体" w:eastAsia="宋体" w:cs="Times New Roman"/>
                      <w:color w:val="000000" w:themeColor="text1"/>
                      <w:sz w:val="21"/>
                    </w:rPr>
                    <w:t>西南</w:t>
                  </w:r>
                </w:p>
              </w:tc>
              <w:tc>
                <w:tcPr>
                  <w:tcW w:w="800" w:type="dxa"/>
                  <w:shd w:val="clear" w:color="auto" w:fill="FFFFFF"/>
                  <w:vAlign w:val="center"/>
                </w:tcPr>
                <w:p>
                  <w:pPr>
                    <w:widowControl/>
                    <w:adjustRightInd w:val="0"/>
                    <w:snapToGrid w:val="0"/>
                    <w:jc w:val="center"/>
                    <w:rPr>
                      <w:rFonts w:cs="Times New Roman"/>
                      <w:color w:val="000000" w:themeColor="text1"/>
                      <w:sz w:val="21"/>
                    </w:rPr>
                  </w:pPr>
                  <w:r>
                    <w:rPr>
                      <w:rFonts w:hint="eastAsia" w:cs="Times New Roman"/>
                      <w:color w:val="000000" w:themeColor="text1"/>
                      <w:sz w:val="21"/>
                    </w:rPr>
                    <w:t>1548m</w:t>
                  </w:r>
                </w:p>
              </w:tc>
            </w:tr>
          </w:tbl>
          <w:p>
            <w:pPr>
              <w:jc w:val="center"/>
              <w:rPr>
                <w:rFonts w:cs="Times New Roman"/>
                <w:b/>
                <w:sz w:val="21"/>
              </w:rPr>
            </w:pPr>
            <w:r>
              <w:rPr>
                <w:rFonts w:cs="Times New Roman"/>
                <w:b/>
                <w:color w:val="000000" w:themeColor="text1"/>
                <w:sz w:val="21"/>
              </w:rPr>
              <w:t>表</w:t>
            </w:r>
            <w:r>
              <w:rPr>
                <w:rFonts w:cs="Times New Roman"/>
                <w:b/>
                <w:color w:val="000000" w:themeColor="text1"/>
                <w:sz w:val="21"/>
              </w:rPr>
              <w:fldChar w:fldCharType="begin"/>
            </w:r>
            <w:r>
              <w:rPr>
                <w:rFonts w:cs="Times New Roman"/>
                <w:b/>
                <w:color w:val="000000" w:themeColor="text1"/>
                <w:sz w:val="21"/>
              </w:rPr>
              <w:instrText xml:space="preserve"> STYLEREF 2 \s </w:instrText>
            </w:r>
            <w:r>
              <w:rPr>
                <w:rFonts w:cs="Times New Roman"/>
                <w:b/>
                <w:color w:val="000000" w:themeColor="text1"/>
                <w:sz w:val="21"/>
              </w:rPr>
              <w:fldChar w:fldCharType="separate"/>
            </w:r>
            <w:r>
              <w:rPr>
                <w:rFonts w:cs="Times New Roman"/>
                <w:b/>
                <w:color w:val="000000" w:themeColor="text1"/>
                <w:sz w:val="21"/>
              </w:rPr>
              <w:t>3.2</w:t>
            </w:r>
            <w:r>
              <w:rPr>
                <w:rFonts w:cs="Times New Roman"/>
                <w:b/>
                <w:color w:val="000000" w:themeColor="text1"/>
                <w:sz w:val="21"/>
              </w:rPr>
              <w:fldChar w:fldCharType="end"/>
            </w:r>
            <w:r>
              <w:rPr>
                <w:rFonts w:cs="Times New Roman"/>
                <w:b/>
                <w:color w:val="000000" w:themeColor="text1"/>
                <w:sz w:val="21"/>
              </w:rPr>
              <w:noBreakHyphen/>
            </w:r>
            <w:r>
              <w:rPr>
                <w:rFonts w:cs="Times New Roman"/>
                <w:b/>
                <w:color w:val="000000" w:themeColor="text1"/>
                <w:sz w:val="21"/>
              </w:rPr>
              <w:fldChar w:fldCharType="begin"/>
            </w:r>
            <w:r>
              <w:rPr>
                <w:rFonts w:cs="Times New Roman"/>
                <w:b/>
                <w:color w:val="000000" w:themeColor="text1"/>
                <w:sz w:val="21"/>
              </w:rPr>
              <w:instrText xml:space="preserve"> SEQ 表 \* ARABIC \s 2 </w:instrText>
            </w:r>
            <w:r>
              <w:rPr>
                <w:rFonts w:cs="Times New Roman"/>
                <w:b/>
                <w:color w:val="000000" w:themeColor="text1"/>
                <w:sz w:val="21"/>
              </w:rPr>
              <w:fldChar w:fldCharType="separate"/>
            </w:r>
            <w:r>
              <w:rPr>
                <w:rFonts w:cs="Times New Roman"/>
                <w:b/>
                <w:color w:val="000000" w:themeColor="text1"/>
                <w:sz w:val="21"/>
              </w:rPr>
              <w:t>8</w:t>
            </w:r>
            <w:r>
              <w:rPr>
                <w:rFonts w:cs="Times New Roman"/>
                <w:b/>
                <w:color w:val="000000" w:themeColor="text1"/>
                <w:sz w:val="21"/>
              </w:rPr>
              <w:fldChar w:fldCharType="end"/>
            </w:r>
            <w:r>
              <w:rPr>
                <w:rFonts w:cs="Times New Roman"/>
                <w:b/>
                <w:color w:val="000000" w:themeColor="text1"/>
                <w:sz w:val="21"/>
              </w:rPr>
              <w:t xml:space="preserve">  </w:t>
            </w:r>
            <w:r>
              <w:rPr>
                <w:rFonts w:cs="Times New Roman"/>
                <w:b/>
                <w:bCs/>
                <w:sz w:val="21"/>
              </w:rPr>
              <w:t>其他环境保护目标情况表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1"/>
              <w:gridCol w:w="1378"/>
              <w:gridCol w:w="802"/>
              <w:gridCol w:w="7"/>
              <w:gridCol w:w="1185"/>
              <w:gridCol w:w="1834"/>
              <w:gridCol w:w="2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6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环境</w:t>
                  </w:r>
                </w:p>
                <w:p>
                  <w:pPr>
                    <w:adjustRightInd w:val="0"/>
                    <w:snapToGrid w:val="0"/>
                    <w:jc w:val="center"/>
                    <w:rPr>
                      <w:rFonts w:cs="Times New Roman"/>
                      <w:color w:val="000000"/>
                      <w:sz w:val="21"/>
                    </w:rPr>
                  </w:pPr>
                  <w:r>
                    <w:rPr>
                      <w:rFonts w:cs="Times New Roman"/>
                      <w:color w:val="000000"/>
                      <w:sz w:val="21"/>
                    </w:rPr>
                    <w:t>要素</w:t>
                  </w:r>
                </w:p>
              </w:tc>
              <w:tc>
                <w:tcPr>
                  <w:tcW w:w="83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保护目</w:t>
                  </w:r>
                </w:p>
                <w:p>
                  <w:pPr>
                    <w:adjustRightInd w:val="0"/>
                    <w:snapToGrid w:val="0"/>
                    <w:jc w:val="center"/>
                    <w:rPr>
                      <w:rFonts w:cs="Times New Roman"/>
                      <w:color w:val="000000"/>
                      <w:sz w:val="21"/>
                    </w:rPr>
                  </w:pPr>
                  <w:r>
                    <w:rPr>
                      <w:rFonts w:cs="Times New Roman"/>
                      <w:color w:val="000000"/>
                      <w:sz w:val="21"/>
                    </w:rPr>
                    <w:t>标名称</w:t>
                  </w:r>
                </w:p>
              </w:tc>
              <w:tc>
                <w:tcPr>
                  <w:tcW w:w="48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相对</w:t>
                  </w:r>
                </w:p>
                <w:p>
                  <w:pPr>
                    <w:adjustRightInd w:val="0"/>
                    <w:snapToGrid w:val="0"/>
                    <w:jc w:val="center"/>
                    <w:rPr>
                      <w:rFonts w:cs="Times New Roman"/>
                      <w:color w:val="000000"/>
                      <w:sz w:val="21"/>
                    </w:rPr>
                  </w:pPr>
                  <w:r>
                    <w:rPr>
                      <w:rFonts w:cs="Times New Roman"/>
                      <w:color w:val="000000"/>
                      <w:sz w:val="21"/>
                    </w:rPr>
                    <w:t>方位</w:t>
                  </w:r>
                </w:p>
              </w:tc>
              <w:tc>
                <w:tcPr>
                  <w:tcW w:w="718" w:type="pct"/>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相对</w:t>
                  </w:r>
                </w:p>
                <w:p>
                  <w:pPr>
                    <w:adjustRightInd w:val="0"/>
                    <w:snapToGrid w:val="0"/>
                    <w:jc w:val="center"/>
                    <w:rPr>
                      <w:rFonts w:cs="Times New Roman"/>
                      <w:color w:val="000000"/>
                      <w:sz w:val="21"/>
                    </w:rPr>
                  </w:pPr>
                  <w:r>
                    <w:rPr>
                      <w:rFonts w:cs="Times New Roman"/>
                      <w:color w:val="000000"/>
                      <w:sz w:val="21"/>
                    </w:rPr>
                    <w:t>距离</w:t>
                  </w:r>
                </w:p>
              </w:tc>
              <w:tc>
                <w:tcPr>
                  <w:tcW w:w="110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功能</w:t>
                  </w:r>
                </w:p>
              </w:tc>
              <w:tc>
                <w:tcPr>
                  <w:tcW w:w="125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610" w:type="pct"/>
                  <w:vMerge w:val="restart"/>
                  <w:tcBorders>
                    <w:top w:val="single" w:color="auto" w:sz="4" w:space="0"/>
                    <w:left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地表水</w:t>
                  </w:r>
                </w:p>
                <w:p>
                  <w:pPr>
                    <w:adjustRightInd w:val="0"/>
                    <w:snapToGrid w:val="0"/>
                    <w:jc w:val="center"/>
                    <w:rPr>
                      <w:rFonts w:cs="Times New Roman"/>
                      <w:color w:val="000000"/>
                      <w:sz w:val="21"/>
                    </w:rPr>
                  </w:pPr>
                  <w:r>
                    <w:rPr>
                      <w:rFonts w:cs="Times New Roman"/>
                      <w:color w:val="000000"/>
                      <w:sz w:val="21"/>
                    </w:rPr>
                    <w:t>环境</w:t>
                  </w:r>
                </w:p>
              </w:tc>
              <w:tc>
                <w:tcPr>
                  <w:tcW w:w="83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长江</w:t>
                  </w:r>
                </w:p>
              </w:tc>
              <w:tc>
                <w:tcPr>
                  <w:tcW w:w="487" w:type="pct"/>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南方</w:t>
                  </w:r>
                </w:p>
              </w:tc>
              <w:tc>
                <w:tcPr>
                  <w:tcW w:w="714"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1926m</w:t>
                  </w:r>
                </w:p>
              </w:tc>
              <w:tc>
                <w:tcPr>
                  <w:tcW w:w="110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渔业用水</w:t>
                  </w:r>
                </w:p>
              </w:tc>
              <w:tc>
                <w:tcPr>
                  <w:tcW w:w="125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（GB3838-2002）</w:t>
                  </w:r>
                </w:p>
                <w:p>
                  <w:pPr>
                    <w:adjustRightInd w:val="0"/>
                    <w:snapToGrid w:val="0"/>
                    <w:jc w:val="center"/>
                    <w:rPr>
                      <w:rFonts w:cs="Times New Roman"/>
                      <w:color w:val="000000"/>
                      <w:sz w:val="21"/>
                    </w:rPr>
                  </w:pPr>
                  <w:r>
                    <w:rPr>
                      <w:rFonts w:cs="Times New Roman"/>
                      <w:color w:val="000000"/>
                      <w:sz w:val="21"/>
                    </w:rPr>
                    <w:t>中的Ⅲ类标准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610"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cs="Times New Roman"/>
                      <w:color w:val="000000"/>
                      <w:sz w:val="21"/>
                    </w:rPr>
                  </w:pPr>
                </w:p>
              </w:tc>
              <w:tc>
                <w:tcPr>
                  <w:tcW w:w="83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松阳湖</w:t>
                  </w:r>
                </w:p>
              </w:tc>
              <w:tc>
                <w:tcPr>
                  <w:tcW w:w="487" w:type="pct"/>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东</w:t>
                  </w:r>
                </w:p>
              </w:tc>
              <w:tc>
                <w:tcPr>
                  <w:tcW w:w="714"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407m</w:t>
                  </w:r>
                </w:p>
              </w:tc>
              <w:tc>
                <w:tcPr>
                  <w:tcW w:w="110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农业用水区</w:t>
                  </w:r>
                </w:p>
              </w:tc>
              <w:tc>
                <w:tcPr>
                  <w:tcW w:w="125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（GB3838-2002）中Ⅳ类水质标准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5" w:hRule="atLeast"/>
                <w:jc w:val="center"/>
              </w:trPr>
              <w:tc>
                <w:tcPr>
                  <w:tcW w:w="6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声环境</w:t>
                  </w:r>
                </w:p>
              </w:tc>
              <w:tc>
                <w:tcPr>
                  <w:tcW w:w="83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themeColor="text1"/>
                      <w:sz w:val="21"/>
                    </w:rPr>
                    <w:t>项目北侧两户居民</w:t>
                  </w:r>
                </w:p>
              </w:tc>
              <w:tc>
                <w:tcPr>
                  <w:tcW w:w="487" w:type="pct"/>
                  <w:gridSpan w:val="2"/>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themeColor="text1"/>
                      <w:sz w:val="21"/>
                    </w:rPr>
                    <w:t>北面</w:t>
                  </w:r>
                </w:p>
              </w:tc>
              <w:tc>
                <w:tcPr>
                  <w:tcW w:w="714"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70m</w:t>
                  </w:r>
                </w:p>
              </w:tc>
              <w:tc>
                <w:tcPr>
                  <w:tcW w:w="110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居住、商业、工业混杂区</w:t>
                  </w:r>
                </w:p>
              </w:tc>
              <w:tc>
                <w:tcPr>
                  <w:tcW w:w="125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《声环境质量标准》（GB3096-2008）2类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6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生态环境</w:t>
                  </w:r>
                </w:p>
              </w:tc>
              <w:tc>
                <w:tcPr>
                  <w:tcW w:w="4389" w:type="pct"/>
                  <w:gridSpan w:val="6"/>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厂界外500m范围内的植被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6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sz w:val="21"/>
                      <w:u w:val="single"/>
                    </w:rPr>
                  </w:pPr>
                  <w:r>
                    <w:rPr>
                      <w:rFonts w:hint="eastAsia" w:cs="Times New Roman"/>
                      <w:color w:val="000000"/>
                      <w:sz w:val="21"/>
                      <w:u w:val="single"/>
                    </w:rPr>
                    <w:t>其它</w:t>
                  </w:r>
                </w:p>
              </w:tc>
              <w:tc>
                <w:tcPr>
                  <w:tcW w:w="4389" w:type="pct"/>
                  <w:gridSpan w:val="6"/>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color w:val="000000"/>
                      <w:sz w:val="21"/>
                      <w:u w:val="single"/>
                    </w:rPr>
                  </w:pPr>
                  <w:r>
                    <w:rPr>
                      <w:rFonts w:hint="eastAsia" w:cs="Times New Roman"/>
                      <w:color w:val="0000FF"/>
                      <w:sz w:val="21"/>
                      <w:u w:val="single"/>
                    </w:rPr>
                    <w:t>运输车辆行驶路段两侧居民</w:t>
                  </w:r>
                </w:p>
              </w:tc>
            </w:tr>
          </w:tbl>
          <w:p>
            <w:pPr>
              <w:widowControl/>
              <w:adjustRightInd w:val="0"/>
              <w:snapToGrid w:val="0"/>
              <w:ind w:firstLine="422" w:firstLineChars="200"/>
              <w:jc w:val="center"/>
              <w:rPr>
                <w:rFonts w:ascii="Calibri" w:hAnsi="Calibri" w:eastAsia="宋体" w:cs="Times New Roman"/>
                <w:b/>
                <w:color w:val="000000" w:themeColor="text1"/>
                <w:sz w:val="21"/>
              </w:rPr>
            </w:pPr>
            <w:r>
              <w:rPr>
                <w:rFonts w:hint="eastAsia" w:cs="Times New Roman"/>
                <w:b/>
                <w:bCs/>
                <w:color w:val="000000" w:themeColor="text1"/>
                <w:kern w:val="0"/>
                <w:sz w:val="21"/>
              </w:rPr>
              <w:t xml:space="preserve">表3.2-8  </w:t>
            </w:r>
            <w:r>
              <w:rPr>
                <w:rFonts w:hint="eastAsia" w:ascii="Calibri" w:hAnsi="Calibri" w:eastAsia="宋体" w:cs="Times New Roman"/>
                <w:b/>
                <w:color w:val="000000" w:themeColor="text1"/>
                <w:sz w:val="21"/>
              </w:rPr>
              <w:t>环境风险敏感目标一览表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416"/>
              <w:gridCol w:w="1870"/>
              <w:gridCol w:w="1083"/>
              <w:gridCol w:w="1211"/>
              <w:gridCol w:w="1095"/>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类别</w:t>
                  </w:r>
                </w:p>
              </w:tc>
              <w:tc>
                <w:tcPr>
                  <w:tcW w:w="474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474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厂址周边</w:t>
                  </w:r>
                  <w:r>
                    <w:rPr>
                      <w:rFonts w:eastAsia="宋体" w:cs="Times New Roman"/>
                      <w:color w:val="000000" w:themeColor="text1"/>
                      <w:kern w:val="0"/>
                      <w:sz w:val="21"/>
                    </w:rPr>
                    <w:t>5km</w:t>
                  </w:r>
                  <w:r>
                    <w:rPr>
                      <w:rFonts w:hint="eastAsia" w:eastAsia="宋体" w:cs="宋体"/>
                      <w:color w:val="000000" w:themeColor="text1"/>
                      <w:kern w:val="0"/>
                      <w:sz w:val="21"/>
                    </w:rPr>
                    <w:t>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大气环境</w:t>
                  </w:r>
                </w:p>
                <w:p>
                  <w:pPr>
                    <w:jc w:val="center"/>
                    <w:rPr>
                      <w:rFonts w:eastAsia="宋体" w:cs="Times New Roman"/>
                      <w:color w:val="000000" w:themeColor="text1"/>
                      <w:kern w:val="0"/>
                      <w:sz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序号</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敏感目标名称</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相对方位</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距离</w:t>
                  </w:r>
                  <w:r>
                    <w:rPr>
                      <w:rFonts w:eastAsia="宋体" w:cs="Times New Roman"/>
                      <w:color w:val="000000" w:themeColor="text1"/>
                      <w:kern w:val="0"/>
                      <w:sz w:val="21"/>
                    </w:rPr>
                    <w:t>/m</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属性</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eastAsia="宋体" w:cs="Times New Roman"/>
                      <w:color w:val="000000" w:themeColor="text1"/>
                      <w:kern w:val="0"/>
                      <w:sz w:val="21"/>
                    </w:rPr>
                    <w:t>1</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hint="eastAsia" w:hAnsi="宋体" w:eastAsia="宋体" w:cs="Times New Roman"/>
                      <w:color w:val="000000" w:themeColor="text1"/>
                      <w:sz w:val="21"/>
                    </w:rPr>
                    <w:t>项目西北侧两户居民</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cs="Times New Roman"/>
                      <w:color w:val="000000" w:themeColor="text1"/>
                      <w:sz w:val="21"/>
                    </w:rPr>
                    <w:t>北面</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cs="Times New Roman"/>
                      <w:color w:val="000000" w:themeColor="text1"/>
                      <w:sz w:val="21"/>
                    </w:rPr>
                    <w:t>70</w:t>
                  </w:r>
                  <w:r>
                    <w:rPr>
                      <w:rFonts w:hint="eastAsia" w:cs="Times New Roman"/>
                      <w:color w:val="000000" w:themeColor="text1"/>
                      <w:sz w:val="21"/>
                    </w:rPr>
                    <w:t>m</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Times New Roman"/>
                      <w:color w:val="000000" w:themeColor="text1"/>
                      <w:kern w:val="0"/>
                      <w:sz w:val="21"/>
                    </w:rPr>
                    <w:t>约</w:t>
                  </w:r>
                  <w:r>
                    <w:rPr>
                      <w:rFonts w:eastAsia="宋体" w:cs="Times New Roman"/>
                      <w:color w:val="000000" w:themeColor="text1"/>
                      <w:kern w:val="0"/>
                      <w:sz w:val="21"/>
                    </w:rPr>
                    <w:t>6</w:t>
                  </w:r>
                  <w:r>
                    <w:rPr>
                      <w:rFonts w:hint="eastAsia" w:eastAsia="宋体" w:cs="Times New Roman"/>
                      <w:color w:val="000000" w:themeColor="text1"/>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eastAsia="宋体" w:cs="Times New Roman"/>
                      <w:color w:val="000000" w:themeColor="text1"/>
                      <w:kern w:val="0"/>
                      <w:sz w:val="21"/>
                    </w:rPr>
                    <w:t>2</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hint="eastAsia" w:hAnsi="宋体" w:eastAsia="宋体" w:cs="Times New Roman"/>
                      <w:color w:val="000000" w:themeColor="text1"/>
                      <w:sz w:val="21"/>
                    </w:rPr>
                    <w:t>三五一七公租房</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cs="Times New Roman"/>
                      <w:color w:val="000000" w:themeColor="text1"/>
                      <w:sz w:val="21"/>
                    </w:rPr>
                    <w:t>东南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cs="Times New Roman"/>
                      <w:color w:val="000000" w:themeColor="text1"/>
                      <w:sz w:val="21"/>
                    </w:rPr>
                    <w:t>273</w:t>
                  </w:r>
                  <w:r>
                    <w:rPr>
                      <w:rFonts w:hint="eastAsia" w:cs="Times New Roman"/>
                      <w:color w:val="000000" w:themeColor="text1"/>
                      <w:sz w:val="21"/>
                    </w:rPr>
                    <w:t>m</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Times New Roman"/>
                      <w:color w:val="000000" w:themeColor="text1"/>
                      <w:kern w:val="0"/>
                      <w:sz w:val="21"/>
                    </w:rPr>
                    <w:t>约</w:t>
                  </w:r>
                  <w:r>
                    <w:rPr>
                      <w:rFonts w:eastAsia="宋体" w:cs="Times New Roman"/>
                      <w:color w:val="000000" w:themeColor="text1"/>
                      <w:kern w:val="0"/>
                      <w:sz w:val="21"/>
                    </w:rPr>
                    <w:t>150</w:t>
                  </w:r>
                  <w:r>
                    <w:rPr>
                      <w:rFonts w:hint="eastAsia" w:eastAsia="宋体" w:cs="Times New Roman"/>
                      <w:color w:val="000000" w:themeColor="text1"/>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eastAsia="宋体" w:cs="Times New Roman"/>
                      <w:color w:val="000000" w:themeColor="text1"/>
                      <w:kern w:val="0"/>
                      <w:sz w:val="21"/>
                    </w:rPr>
                    <w:t>3</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hint="eastAsia" w:hAnsi="宋体" w:eastAsia="宋体" w:cs="Times New Roman"/>
                      <w:color w:val="000000" w:themeColor="text1"/>
                      <w:sz w:val="21"/>
                    </w:rPr>
                    <w:t>邱家</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cs="Times New Roman"/>
                      <w:color w:val="000000" w:themeColor="text1"/>
                      <w:sz w:val="21"/>
                    </w:rPr>
                    <w:t>东北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cs="Times New Roman"/>
                      <w:color w:val="000000" w:themeColor="text1"/>
                      <w:sz w:val="21"/>
                    </w:rPr>
                    <w:t>343</w:t>
                  </w:r>
                  <w:r>
                    <w:rPr>
                      <w:rFonts w:hint="eastAsia" w:cs="Times New Roman"/>
                      <w:color w:val="000000" w:themeColor="text1"/>
                      <w:sz w:val="21"/>
                    </w:rPr>
                    <w:t>m</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Times New Roman"/>
                      <w:color w:val="000000" w:themeColor="text1"/>
                      <w:kern w:val="0"/>
                      <w:sz w:val="21"/>
                    </w:rPr>
                    <w:t>约</w:t>
                  </w:r>
                  <w:r>
                    <w:rPr>
                      <w:rFonts w:eastAsia="宋体" w:cs="Times New Roman"/>
                      <w:color w:val="000000" w:themeColor="text1"/>
                      <w:kern w:val="0"/>
                      <w:sz w:val="21"/>
                    </w:rPr>
                    <w:t>45</w:t>
                  </w:r>
                  <w:r>
                    <w:rPr>
                      <w:rFonts w:hint="eastAsia" w:eastAsia="宋体" w:cs="Times New Roman"/>
                      <w:color w:val="000000" w:themeColor="text1"/>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eastAsia="宋体" w:cs="Times New Roman"/>
                      <w:color w:val="000000" w:themeColor="text1"/>
                      <w:kern w:val="0"/>
                      <w:sz w:val="21"/>
                    </w:rPr>
                    <w:t>4</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hint="eastAsia" w:hAnsi="宋体" w:eastAsia="宋体" w:cs="Times New Roman"/>
                      <w:color w:val="000000" w:themeColor="text1"/>
                      <w:sz w:val="21"/>
                    </w:rPr>
                    <w:t>金家垄</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cs="Times New Roman"/>
                      <w:color w:val="000000" w:themeColor="text1"/>
                      <w:sz w:val="21"/>
                    </w:rPr>
                    <w:t>西南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cs="Times New Roman"/>
                      <w:color w:val="000000" w:themeColor="text1"/>
                      <w:sz w:val="21"/>
                    </w:rPr>
                    <w:t>982</w:t>
                  </w:r>
                  <w:r>
                    <w:rPr>
                      <w:rFonts w:hint="eastAsia" w:cs="Times New Roman"/>
                      <w:color w:val="000000" w:themeColor="text1"/>
                      <w:sz w:val="21"/>
                    </w:rPr>
                    <w:t>m</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Times New Roman"/>
                      <w:color w:val="000000" w:themeColor="text1"/>
                      <w:kern w:val="0"/>
                      <w:sz w:val="21"/>
                    </w:rPr>
                    <w:t>约</w:t>
                  </w:r>
                  <w:r>
                    <w:rPr>
                      <w:rFonts w:eastAsia="宋体" w:cs="Times New Roman"/>
                      <w:color w:val="000000" w:themeColor="text1"/>
                      <w:kern w:val="0"/>
                      <w:sz w:val="21"/>
                    </w:rPr>
                    <w:t>30</w:t>
                  </w:r>
                  <w:r>
                    <w:rPr>
                      <w:rFonts w:hint="eastAsia" w:eastAsia="宋体" w:cs="Times New Roman"/>
                      <w:color w:val="000000" w:themeColor="text1"/>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eastAsia="宋体" w:cs="Times New Roman"/>
                      <w:color w:val="000000" w:themeColor="text1"/>
                      <w:kern w:val="0"/>
                      <w:sz w:val="21"/>
                    </w:rPr>
                    <w:t>5</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hint="eastAsia" w:hAnsi="宋体" w:eastAsia="宋体" w:cs="Times New Roman"/>
                      <w:color w:val="000000" w:themeColor="text1"/>
                      <w:sz w:val="21"/>
                    </w:rPr>
                    <w:t>茅岭头社区</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cs="Times New Roman"/>
                      <w:color w:val="000000" w:themeColor="text1"/>
                      <w:sz w:val="21"/>
                    </w:rPr>
                    <w:t>西南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cs="Times New Roman"/>
                      <w:color w:val="000000" w:themeColor="text1"/>
                      <w:sz w:val="21"/>
                    </w:rPr>
                    <w:t>874</w:t>
                  </w:r>
                  <w:r>
                    <w:rPr>
                      <w:rFonts w:hint="eastAsia" w:cs="Times New Roman"/>
                      <w:color w:val="000000" w:themeColor="text1"/>
                      <w:sz w:val="21"/>
                    </w:rPr>
                    <w:t>m</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Times New Roman"/>
                      <w:color w:val="000000" w:themeColor="text1"/>
                      <w:kern w:val="0"/>
                      <w:sz w:val="21"/>
                    </w:rPr>
                    <w:t>约</w:t>
                  </w:r>
                  <w:r>
                    <w:rPr>
                      <w:rFonts w:eastAsia="宋体" w:cs="Times New Roman"/>
                      <w:color w:val="000000" w:themeColor="text1"/>
                      <w:kern w:val="0"/>
                      <w:sz w:val="21"/>
                    </w:rPr>
                    <w:t>30</w:t>
                  </w:r>
                  <w:r>
                    <w:rPr>
                      <w:rFonts w:hint="eastAsia" w:eastAsia="宋体" w:cs="Times New Roman"/>
                      <w:color w:val="000000" w:themeColor="text1"/>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eastAsia="宋体" w:cs="Times New Roman"/>
                      <w:color w:val="000000" w:themeColor="text1"/>
                      <w:kern w:val="0"/>
                      <w:sz w:val="21"/>
                    </w:rPr>
                    <w:t>6</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hint="eastAsia" w:hAnsi="宋体" w:eastAsia="宋体" w:cs="Times New Roman"/>
                      <w:color w:val="000000" w:themeColor="text1"/>
                      <w:sz w:val="21"/>
                    </w:rPr>
                    <w:t>王家屋场</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cs="Times New Roman"/>
                      <w:color w:val="000000" w:themeColor="text1"/>
                      <w:sz w:val="21"/>
                    </w:rPr>
                    <w:t>西南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cs="Times New Roman"/>
                      <w:color w:val="000000" w:themeColor="text1"/>
                      <w:sz w:val="21"/>
                    </w:rPr>
                    <w:t>1254</w:t>
                  </w:r>
                  <w:r>
                    <w:rPr>
                      <w:rFonts w:hint="eastAsia" w:cs="Times New Roman"/>
                      <w:color w:val="000000" w:themeColor="text1"/>
                      <w:sz w:val="21"/>
                    </w:rPr>
                    <w:t>m</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Times New Roman"/>
                      <w:color w:val="000000" w:themeColor="text1"/>
                      <w:kern w:val="0"/>
                      <w:sz w:val="21"/>
                    </w:rPr>
                    <w:t>约</w:t>
                  </w:r>
                  <w:r>
                    <w:rPr>
                      <w:rFonts w:eastAsia="宋体" w:cs="Times New Roman"/>
                      <w:color w:val="000000" w:themeColor="text1"/>
                      <w:kern w:val="0"/>
                      <w:sz w:val="21"/>
                    </w:rPr>
                    <w:t>120</w:t>
                  </w:r>
                  <w:r>
                    <w:rPr>
                      <w:rFonts w:hint="eastAsia" w:eastAsia="宋体" w:cs="Times New Roman"/>
                      <w:color w:val="000000" w:themeColor="text1"/>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eastAsia="宋体" w:cs="Times New Roman"/>
                      <w:color w:val="000000" w:themeColor="text1"/>
                      <w:kern w:val="0"/>
                      <w:sz w:val="21"/>
                    </w:rPr>
                    <w:t>7</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hint="eastAsia" w:hAnsi="宋体" w:eastAsia="宋体" w:cs="Times New Roman"/>
                      <w:color w:val="000000" w:themeColor="text1"/>
                      <w:sz w:val="21"/>
                    </w:rPr>
                    <w:t>杨树港村</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themeColor="text1"/>
                      <w:sz w:val="21"/>
                    </w:rPr>
                  </w:pPr>
                  <w:r>
                    <w:rPr>
                      <w:rFonts w:cs="Times New Roman"/>
                      <w:color w:val="000000" w:themeColor="text1"/>
                      <w:sz w:val="21"/>
                    </w:rPr>
                    <w:t>西南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cs="Times New Roman"/>
                      <w:color w:val="000000" w:themeColor="text1"/>
                      <w:sz w:val="21"/>
                    </w:rPr>
                    <w:t>1997</w:t>
                  </w:r>
                  <w:r>
                    <w:rPr>
                      <w:rFonts w:hint="eastAsia" w:cs="Times New Roman"/>
                      <w:color w:val="000000" w:themeColor="text1"/>
                      <w:sz w:val="21"/>
                    </w:rPr>
                    <w:t>m</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Times New Roman"/>
                      <w:color w:val="000000" w:themeColor="text1"/>
                      <w:kern w:val="0"/>
                      <w:sz w:val="21"/>
                    </w:rPr>
                    <w:t>约</w:t>
                  </w:r>
                  <w:r>
                    <w:rPr>
                      <w:rFonts w:eastAsia="宋体" w:cs="Times New Roman"/>
                      <w:color w:val="000000" w:themeColor="text1"/>
                      <w:kern w:val="0"/>
                      <w:sz w:val="21"/>
                    </w:rPr>
                    <w:t>300</w:t>
                  </w:r>
                  <w:r>
                    <w:rPr>
                      <w:rFonts w:hint="eastAsia" w:eastAsia="宋体" w:cs="Times New Roman"/>
                      <w:color w:val="000000" w:themeColor="text1"/>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Times New Roman"/>
                      <w:color w:val="000000" w:themeColor="text1"/>
                      <w:kern w:val="0"/>
                      <w:sz w:val="21"/>
                    </w:rPr>
                    <w:t>8</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hAnsi="宋体" w:eastAsia="宋体" w:cs="Times New Roman"/>
                      <w:color w:val="000000" w:themeColor="text1"/>
                      <w:sz w:val="21"/>
                    </w:rPr>
                  </w:pPr>
                  <w:r>
                    <w:rPr>
                      <w:rFonts w:hint="eastAsia" w:hAnsi="宋体" w:eastAsia="宋体" w:cs="Times New Roman"/>
                      <w:color w:val="0000FF"/>
                      <w:sz w:val="21"/>
                    </w:rPr>
                    <w:t>龙安寺附近居民</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hAnsi="宋体" w:eastAsia="宋体" w:cs="Times New Roman"/>
                      <w:color w:val="0000FF"/>
                      <w:sz w:val="21"/>
                    </w:rPr>
                    <w:t>西南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hint="eastAsia" w:cs="Times New Roman"/>
                      <w:color w:val="000000" w:themeColor="text1"/>
                      <w:sz w:val="21"/>
                    </w:rPr>
                    <w:t>1548m</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宋体"/>
                      <w:color w:val="000000" w:themeColor="text1"/>
                      <w:kern w:val="0"/>
                      <w:sz w:val="21"/>
                    </w:rPr>
                  </w:pPr>
                  <w:r>
                    <w:rPr>
                      <w:rFonts w:hint="eastAsia" w:eastAsia="宋体" w:cs="宋体"/>
                      <w:color w:val="000000" w:themeColor="text1"/>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Times New Roman"/>
                      <w:color w:val="000000" w:themeColor="text1"/>
                      <w:kern w:val="0"/>
                      <w:sz w:val="21"/>
                    </w:rPr>
                    <w:t>约30人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4012"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厂址周边</w:t>
                  </w:r>
                  <w:r>
                    <w:rPr>
                      <w:rFonts w:eastAsia="宋体" w:cs="Times New Roman"/>
                      <w:color w:val="000000" w:themeColor="text1"/>
                      <w:kern w:val="0"/>
                      <w:sz w:val="21"/>
                    </w:rPr>
                    <w:t>500m</w:t>
                  </w:r>
                  <w:r>
                    <w:rPr>
                      <w:rFonts w:hint="eastAsia" w:eastAsia="宋体" w:cs="宋体"/>
                      <w:color w:val="000000" w:themeColor="text1"/>
                      <w:kern w:val="0"/>
                      <w:sz w:val="21"/>
                    </w:rPr>
                    <w:t>范围内人口小计</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约200人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color w:val="000000" w:themeColor="text1"/>
                      <w:sz w:val="21"/>
                      <w:szCs w:val="22"/>
                    </w:rPr>
                  </w:pPr>
                </w:p>
              </w:tc>
              <w:tc>
                <w:tcPr>
                  <w:tcW w:w="4012"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厂址周边</w:t>
                  </w:r>
                  <w:r>
                    <w:rPr>
                      <w:rFonts w:eastAsia="宋体" w:cs="Times New Roman"/>
                      <w:color w:val="000000" w:themeColor="text1"/>
                      <w:kern w:val="0"/>
                      <w:sz w:val="21"/>
                    </w:rPr>
                    <w:t>5km</w:t>
                  </w:r>
                  <w:r>
                    <w:rPr>
                      <w:rFonts w:hint="eastAsia" w:eastAsia="宋体" w:cs="宋体"/>
                      <w:color w:val="000000" w:themeColor="text1"/>
                      <w:kern w:val="0"/>
                      <w:sz w:val="21"/>
                    </w:rPr>
                    <w:t>范围内人口小计</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themeColor="text1"/>
                      <w:kern w:val="0"/>
                      <w:sz w:val="21"/>
                    </w:rPr>
                  </w:pPr>
                  <w:r>
                    <w:rPr>
                      <w:rFonts w:hint="eastAsia" w:eastAsia="宋体" w:cs="宋体"/>
                      <w:color w:val="000000" w:themeColor="text1"/>
                      <w:kern w:val="0"/>
                      <w:sz w:val="21"/>
                    </w:rPr>
                    <w:t>约</w:t>
                  </w:r>
                  <w:r>
                    <w:rPr>
                      <w:rFonts w:eastAsia="宋体" w:cs="宋体"/>
                      <w:color w:val="000000" w:themeColor="text1"/>
                      <w:kern w:val="0"/>
                      <w:sz w:val="21"/>
                    </w:rPr>
                    <w:t>9000</w:t>
                  </w:r>
                  <w:r>
                    <w:rPr>
                      <w:rFonts w:hint="eastAsia" w:eastAsia="宋体" w:cs="宋体"/>
                      <w:color w:val="000000" w:themeColor="text1"/>
                      <w:kern w:val="0"/>
                      <w:sz w:val="21"/>
                    </w:rPr>
                    <w:t>人</w:t>
                  </w:r>
                </w:p>
              </w:tc>
            </w:tr>
          </w:tbl>
          <w:p>
            <w:pPr>
              <w:widowControl/>
              <w:adjustRightInd w:val="0"/>
              <w:snapToGrid w:val="0"/>
              <w:spacing w:line="360" w:lineRule="auto"/>
              <w:ind w:firstLine="482" w:firstLineChars="200"/>
              <w:jc w:val="left"/>
              <w:rPr>
                <w:rFonts w:cs="Times New Roman"/>
                <w:b/>
                <w:bCs/>
                <w:kern w:val="0"/>
                <w:szCs w:val="24"/>
              </w:rPr>
            </w:pPr>
            <w:r>
              <w:rPr>
                <w:rFonts w:cs="Times New Roman"/>
                <w:b/>
                <w:bCs/>
                <w:kern w:val="0"/>
                <w:szCs w:val="24"/>
              </w:rPr>
              <w:t>保护目标：</w:t>
            </w:r>
          </w:p>
          <w:p>
            <w:pPr>
              <w:pStyle w:val="5"/>
              <w:numPr>
                <w:ilvl w:val="0"/>
                <w:numId w:val="5"/>
              </w:numPr>
              <w:adjustRightInd w:val="0"/>
              <w:snapToGrid w:val="0"/>
              <w:spacing w:before="0" w:after="0" w:line="360" w:lineRule="auto"/>
              <w:ind w:firstLine="480" w:firstLineChars="200"/>
              <w:jc w:val="left"/>
              <w:rPr>
                <w:rFonts w:ascii="Times New Roman" w:hAnsi="Times New Roman" w:cs="Times New Roman" w:eastAsiaTheme="minorEastAsia"/>
                <w:b w:val="0"/>
                <w:bCs w:val="0"/>
                <w:kern w:val="0"/>
                <w:sz w:val="24"/>
                <w:szCs w:val="24"/>
              </w:rPr>
            </w:pPr>
            <w:r>
              <w:rPr>
                <w:rFonts w:ascii="Times New Roman" w:hAnsi="Times New Roman" w:cs="Times New Roman" w:eastAsiaTheme="minorEastAsia"/>
                <w:b w:val="0"/>
                <w:bCs w:val="0"/>
                <w:sz w:val="24"/>
                <w:szCs w:val="24"/>
              </w:rPr>
              <w:t>保护本项目周边水体水环境质量不因本项目建设而发生质量改变，保持各相关水域原有相应的水环境质量标准；</w:t>
            </w:r>
          </w:p>
          <w:p>
            <w:pPr>
              <w:numPr>
                <w:ilvl w:val="0"/>
                <w:numId w:val="5"/>
              </w:numPr>
              <w:adjustRightInd w:val="0"/>
              <w:snapToGrid w:val="0"/>
              <w:spacing w:line="360" w:lineRule="auto"/>
              <w:ind w:firstLine="480" w:firstLineChars="200"/>
              <w:rPr>
                <w:rFonts w:cs="Times New Roman"/>
                <w:szCs w:val="24"/>
              </w:rPr>
            </w:pPr>
            <w:r>
              <w:rPr>
                <w:rFonts w:cs="Times New Roman"/>
                <w:kern w:val="0"/>
                <w:szCs w:val="24"/>
              </w:rPr>
              <w:t>保护本项目周边声环境质量不因本项目建设而发生质量改变，保持《声环境质量标准》2类声环境质量标准；</w:t>
            </w:r>
          </w:p>
          <w:p>
            <w:pPr>
              <w:pStyle w:val="5"/>
              <w:numPr>
                <w:ilvl w:val="0"/>
                <w:numId w:val="5"/>
              </w:numPr>
              <w:adjustRightInd w:val="0"/>
              <w:snapToGrid w:val="0"/>
              <w:spacing w:before="0" w:after="0" w:line="360" w:lineRule="auto"/>
              <w:ind w:firstLine="480" w:firstLineChars="200"/>
              <w:jc w:val="left"/>
              <w:rPr>
                <w:rFonts w:ascii="Times New Roman" w:hAnsi="Times New Roman" w:cs="Times New Roman" w:eastAsiaTheme="minorEastAsia"/>
                <w:b w:val="0"/>
                <w:bCs w:val="0"/>
                <w:color w:val="000000"/>
                <w:sz w:val="24"/>
                <w:szCs w:val="24"/>
              </w:rPr>
            </w:pPr>
            <w:r>
              <w:rPr>
                <w:rFonts w:ascii="Times New Roman" w:hAnsi="Times New Roman" w:cs="Times New Roman" w:eastAsiaTheme="minorEastAsia"/>
                <w:b w:val="0"/>
                <w:bCs w:val="0"/>
                <w:sz w:val="24"/>
                <w:szCs w:val="24"/>
              </w:rPr>
              <w:t>保护本项目周边大气环境质量不因本项目建设而发生质量改变，保持《环</w:t>
            </w:r>
            <w:r>
              <w:rPr>
                <w:rFonts w:ascii="Times New Roman" w:hAnsi="Times New Roman" w:cs="Times New Roman" w:eastAsiaTheme="minorEastAsia"/>
                <w:b w:val="0"/>
                <w:bCs w:val="0"/>
                <w:color w:val="000000"/>
                <w:sz w:val="24"/>
                <w:szCs w:val="24"/>
              </w:rPr>
              <w:t>境空气质量标准》（GB3095-2012）中二级大气环境质量标准；</w:t>
            </w:r>
          </w:p>
          <w:p>
            <w:pPr>
              <w:adjustRightInd w:val="0"/>
              <w:snapToGrid w:val="0"/>
              <w:spacing w:line="360" w:lineRule="auto"/>
              <w:ind w:firstLine="480" w:firstLineChars="200"/>
              <w:rPr>
                <w:rFonts w:cs="Times New Roman"/>
                <w:sz w:val="21"/>
              </w:rPr>
            </w:pPr>
            <w:r>
              <w:rPr>
                <w:rFonts w:cs="Times New Roman"/>
                <w:color w:val="000000"/>
                <w:kern w:val="0"/>
                <w:szCs w:val="24"/>
              </w:rPr>
              <w:t>（4）保护本项目周边生态环境（农田、水体）质量不因本项目建设而发生质量改变。</w:t>
            </w:r>
          </w:p>
          <w:p>
            <w:pPr>
              <w:keepNext/>
              <w:tabs>
                <w:tab w:val="left" w:pos="5775"/>
              </w:tabs>
              <w:spacing w:line="360" w:lineRule="auto"/>
              <w:rPr>
                <w:rFonts w:cs="Times New Roman"/>
              </w:rPr>
            </w:pPr>
          </w:p>
        </w:tc>
      </w:tr>
    </w:tbl>
    <w:p>
      <w:pPr>
        <w:rPr>
          <w:rFonts w:cs="Times New Roman" w:eastAsiaTheme="minorEastAsia"/>
        </w:rPr>
      </w:pPr>
      <w:bookmarkStart w:id="9" w:name="_Toc25781"/>
      <w:r>
        <w:rPr>
          <w:rFonts w:cs="Times New Roman" w:eastAsiaTheme="minorEastAsia"/>
        </w:rPr>
        <w:br w:type="page"/>
      </w:r>
    </w:p>
    <w:p>
      <w:pPr>
        <w:pStyle w:val="4"/>
        <w:rPr>
          <w:rFonts w:cs="Times New Roman" w:eastAsiaTheme="minorEastAsia"/>
        </w:rPr>
      </w:pPr>
      <w:r>
        <w:rPr>
          <w:rFonts w:cs="Times New Roman" w:eastAsiaTheme="minorEastAsia"/>
        </w:rPr>
        <w:t>评价适用标准</w:t>
      </w:r>
      <w:bookmarkEnd w:id="9"/>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7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1" w:hRule="atLeast"/>
        </w:trPr>
        <w:tc>
          <w:tcPr>
            <w:tcW w:w="312" w:type="pct"/>
            <w:vAlign w:val="center"/>
          </w:tcPr>
          <w:p>
            <w:pPr>
              <w:spacing w:line="360" w:lineRule="auto"/>
              <w:jc w:val="center"/>
              <w:rPr>
                <w:rFonts w:cs="Times New Roman"/>
                <w:color w:val="000000" w:themeColor="text1"/>
              </w:rPr>
            </w:pPr>
            <w:r>
              <w:rPr>
                <w:rFonts w:cs="Times New Roman"/>
                <w:color w:val="000000" w:themeColor="text1"/>
              </w:rPr>
              <w:t>环</w:t>
            </w:r>
          </w:p>
          <w:p>
            <w:pPr>
              <w:spacing w:line="360" w:lineRule="auto"/>
              <w:jc w:val="center"/>
              <w:rPr>
                <w:rFonts w:cs="Times New Roman"/>
                <w:color w:val="000000" w:themeColor="text1"/>
              </w:rPr>
            </w:pPr>
            <w:r>
              <w:rPr>
                <w:rFonts w:cs="Times New Roman"/>
                <w:color w:val="000000" w:themeColor="text1"/>
              </w:rPr>
              <w:t>境</w:t>
            </w:r>
          </w:p>
          <w:p>
            <w:pPr>
              <w:spacing w:line="360" w:lineRule="auto"/>
              <w:jc w:val="center"/>
              <w:rPr>
                <w:rFonts w:cs="Times New Roman"/>
                <w:color w:val="000000" w:themeColor="text1"/>
              </w:rPr>
            </w:pPr>
            <w:r>
              <w:rPr>
                <w:rFonts w:cs="Times New Roman"/>
                <w:color w:val="000000" w:themeColor="text1"/>
              </w:rPr>
              <w:t>质</w:t>
            </w:r>
          </w:p>
          <w:p>
            <w:pPr>
              <w:spacing w:line="360" w:lineRule="auto"/>
              <w:jc w:val="center"/>
              <w:rPr>
                <w:rFonts w:cs="Times New Roman"/>
                <w:color w:val="000000" w:themeColor="text1"/>
              </w:rPr>
            </w:pPr>
            <w:r>
              <w:rPr>
                <w:rFonts w:cs="Times New Roman"/>
                <w:color w:val="000000" w:themeColor="text1"/>
              </w:rPr>
              <w:t>量</w:t>
            </w:r>
          </w:p>
          <w:p>
            <w:pPr>
              <w:spacing w:line="360" w:lineRule="auto"/>
              <w:jc w:val="center"/>
              <w:rPr>
                <w:rFonts w:cs="Times New Roman"/>
                <w:color w:val="000000" w:themeColor="text1"/>
              </w:rPr>
            </w:pPr>
            <w:r>
              <w:rPr>
                <w:rFonts w:cs="Times New Roman"/>
                <w:color w:val="000000" w:themeColor="text1"/>
              </w:rPr>
              <w:t>标</w:t>
            </w:r>
          </w:p>
          <w:p>
            <w:pPr>
              <w:spacing w:line="360" w:lineRule="auto"/>
              <w:jc w:val="center"/>
              <w:rPr>
                <w:rFonts w:cs="Times New Roman"/>
                <w:color w:val="000000" w:themeColor="text1"/>
              </w:rPr>
            </w:pPr>
            <w:r>
              <w:rPr>
                <w:rFonts w:cs="Times New Roman"/>
                <w:color w:val="000000" w:themeColor="text1"/>
              </w:rPr>
              <w:t>准</w:t>
            </w:r>
          </w:p>
        </w:tc>
        <w:tc>
          <w:tcPr>
            <w:tcW w:w="4687" w:type="pct"/>
          </w:tcPr>
          <w:p>
            <w:pPr>
              <w:spacing w:line="360" w:lineRule="auto"/>
              <w:rPr>
                <w:rFonts w:cs="Times New Roman"/>
                <w:color w:val="000000" w:themeColor="text1"/>
                <w:szCs w:val="24"/>
              </w:rPr>
            </w:pPr>
            <w:r>
              <w:rPr>
                <w:rFonts w:cs="Times New Roman"/>
                <w:color w:val="000000" w:themeColor="text1"/>
                <w:szCs w:val="24"/>
              </w:rPr>
              <w:t>根据标准要求，环境质量执行如下标准：</w:t>
            </w:r>
          </w:p>
          <w:p>
            <w:pPr>
              <w:numPr>
                <w:ilvl w:val="0"/>
                <w:numId w:val="6"/>
              </w:numPr>
              <w:spacing w:line="360" w:lineRule="auto"/>
              <w:ind w:firstLine="480" w:firstLineChars="200"/>
              <w:jc w:val="left"/>
              <w:rPr>
                <w:rFonts w:cs="Times New Roman"/>
                <w:color w:val="000000" w:themeColor="text1"/>
              </w:rPr>
            </w:pPr>
            <w:r>
              <w:rPr>
                <w:rFonts w:cs="Times New Roman"/>
                <w:color w:val="000000" w:themeColor="text1"/>
              </w:rPr>
              <w:t>环境空气：本项目评价范围内环境空气质量执行《环境空气质量标准》（GB3095-2012）中的二级标准限值，项目环境空气质量标准</w:t>
            </w:r>
            <w:r>
              <w:rPr>
                <w:rFonts w:cs="Times New Roman"/>
                <w:color w:val="000000" w:themeColor="text1"/>
              </w:rPr>
              <w:fldChar w:fldCharType="begin"/>
            </w:r>
            <w:r>
              <w:rPr>
                <w:rFonts w:cs="Times New Roman"/>
                <w:color w:val="000000" w:themeColor="text1"/>
              </w:rPr>
              <w:instrText xml:space="preserve"> REF _Ref18657715 \h </w:instrText>
            </w:r>
            <w:r>
              <w:rPr>
                <w:rFonts w:cs="Times New Roman"/>
                <w:color w:val="000000" w:themeColor="text1"/>
              </w:rPr>
              <w:fldChar w:fldCharType="separate"/>
            </w:r>
            <w:r>
              <w:rPr>
                <w:rFonts w:cs="Times New Roman"/>
                <w:color w:val="000000" w:themeColor="text1"/>
                <w:szCs w:val="24"/>
              </w:rPr>
              <w:t>表4.1-1</w:t>
            </w:r>
            <w:r>
              <w:rPr>
                <w:rFonts w:cs="Times New Roman"/>
                <w:color w:val="000000" w:themeColor="text1"/>
              </w:rPr>
              <w:fldChar w:fldCharType="end"/>
            </w:r>
            <w:r>
              <w:rPr>
                <w:rFonts w:cs="Times New Roman"/>
                <w:color w:val="000000" w:themeColor="text1"/>
              </w:rPr>
              <w:t>。</w:t>
            </w:r>
          </w:p>
          <w:p>
            <w:pPr>
              <w:pStyle w:val="15"/>
              <w:keepNext/>
              <w:spacing w:line="240" w:lineRule="auto"/>
              <w:rPr>
                <w:rFonts w:cs="Times New Roman" w:eastAsiaTheme="minorEastAsia"/>
                <w:sz w:val="21"/>
                <w:szCs w:val="21"/>
              </w:rPr>
            </w:pPr>
            <w:bookmarkStart w:id="10" w:name="_Ref18657715"/>
            <w:bookmarkStart w:id="11" w:name="_Ref18657659"/>
            <w:r>
              <w:rPr>
                <w:rFonts w:cs="Times New Roman" w:eastAsiaTheme="minorEastAsia"/>
                <w:color w:val="000000" w:themeColor="text1"/>
                <w:sz w:val="21"/>
                <w:szCs w:val="21"/>
              </w:rPr>
              <w:t>表</w:t>
            </w:r>
            <w:bookmarkEnd w:id="10"/>
            <w:r>
              <w:rPr>
                <w:rFonts w:cs="Times New Roman" w:eastAsiaTheme="minorEastAsia"/>
                <w:sz w:val="21"/>
                <w:szCs w:val="21"/>
              </w:rPr>
              <w:t xml:space="preserve">4.1-1  </w:t>
            </w:r>
            <w:r>
              <w:rPr>
                <w:rFonts w:cs="Times New Roman" w:eastAsiaTheme="minorEastAsia"/>
                <w:color w:val="000000" w:themeColor="text1"/>
                <w:sz w:val="21"/>
                <w:szCs w:val="21"/>
              </w:rPr>
              <w:t>环境空气质量标准表</w:t>
            </w:r>
            <w:bookmarkEnd w:id="11"/>
            <w:r>
              <w:rPr>
                <w:rFonts w:cs="Times New Roman" w:eastAsiaTheme="minorEastAsia"/>
                <w:color w:val="000000" w:themeColor="text1"/>
                <w:sz w:val="21"/>
                <w:szCs w:val="21"/>
              </w:rPr>
              <w:t>（GB3095-2012）</w:t>
            </w:r>
          </w:p>
          <w:tbl>
            <w:tblPr>
              <w:tblStyle w:val="33"/>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02"/>
              <w:gridCol w:w="1845"/>
              <w:gridCol w:w="994"/>
              <w:gridCol w:w="1277"/>
              <w:gridCol w:w="23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Align w:val="center"/>
                </w:tcPr>
                <w:p>
                  <w:pPr>
                    <w:adjustRightInd w:val="0"/>
                    <w:snapToGrid w:val="0"/>
                    <w:jc w:val="center"/>
                    <w:rPr>
                      <w:rFonts w:cs="Times New Roman"/>
                      <w:sz w:val="21"/>
                      <w:szCs w:val="21"/>
                    </w:rPr>
                  </w:pPr>
                  <w:bookmarkStart w:id="12" w:name="_Toc488237316"/>
                  <w:r>
                    <w:rPr>
                      <w:rFonts w:cs="Times New Roman"/>
                      <w:sz w:val="21"/>
                      <w:szCs w:val="21"/>
                    </w:rPr>
                    <w:t>污染物名称</w:t>
                  </w:r>
                  <w:bookmarkEnd w:id="12"/>
                </w:p>
              </w:tc>
              <w:tc>
                <w:tcPr>
                  <w:tcW w:w="1828" w:type="pct"/>
                  <w:gridSpan w:val="2"/>
                  <w:vAlign w:val="center"/>
                </w:tcPr>
                <w:p>
                  <w:pPr>
                    <w:adjustRightInd w:val="0"/>
                    <w:snapToGrid w:val="0"/>
                    <w:jc w:val="center"/>
                    <w:rPr>
                      <w:rFonts w:cs="Times New Roman"/>
                      <w:sz w:val="21"/>
                      <w:szCs w:val="21"/>
                    </w:rPr>
                  </w:pPr>
                  <w:r>
                    <w:rPr>
                      <w:rFonts w:cs="Times New Roman"/>
                      <w:sz w:val="21"/>
                      <w:szCs w:val="21"/>
                    </w:rPr>
                    <w:t>标准值</w:t>
                  </w:r>
                </w:p>
              </w:tc>
              <w:tc>
                <w:tcPr>
                  <w:tcW w:w="822" w:type="pct"/>
                  <w:vAlign w:val="center"/>
                </w:tcPr>
                <w:p>
                  <w:pPr>
                    <w:adjustRightInd w:val="0"/>
                    <w:snapToGrid w:val="0"/>
                    <w:jc w:val="center"/>
                    <w:rPr>
                      <w:rFonts w:cs="Times New Roman"/>
                      <w:sz w:val="21"/>
                      <w:szCs w:val="21"/>
                    </w:rPr>
                  </w:pPr>
                  <w:r>
                    <w:rPr>
                      <w:rFonts w:cs="Times New Roman"/>
                      <w:sz w:val="21"/>
                      <w:szCs w:val="21"/>
                    </w:rPr>
                    <w:t>单位</w:t>
                  </w:r>
                </w:p>
              </w:tc>
              <w:tc>
                <w:tcPr>
                  <w:tcW w:w="1511" w:type="pct"/>
                  <w:vAlign w:val="center"/>
                </w:tcPr>
                <w:p>
                  <w:pPr>
                    <w:adjustRightInd w:val="0"/>
                    <w:snapToGrid w:val="0"/>
                    <w:jc w:val="center"/>
                    <w:rPr>
                      <w:rFonts w:cs="Times New Roman"/>
                      <w:sz w:val="21"/>
                      <w:szCs w:val="21"/>
                    </w:rPr>
                  </w:pPr>
                  <w:r>
                    <w:rPr>
                      <w:rFonts w:cs="Times New Roman"/>
                      <w:sz w:val="21"/>
                      <w:szCs w:val="21"/>
                    </w:rPr>
                    <w:t>选用标准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restart"/>
                  <w:vAlign w:val="center"/>
                </w:tcPr>
                <w:p>
                  <w:pPr>
                    <w:adjustRightInd w:val="0"/>
                    <w:snapToGrid w:val="0"/>
                    <w:jc w:val="center"/>
                    <w:rPr>
                      <w:rFonts w:cs="Times New Roman"/>
                      <w:sz w:val="21"/>
                      <w:szCs w:val="21"/>
                      <w:vertAlign w:val="subscript"/>
                    </w:rPr>
                  </w:pPr>
                  <w:r>
                    <w:rPr>
                      <w:rFonts w:cs="Times New Roman"/>
                      <w:sz w:val="21"/>
                      <w:szCs w:val="21"/>
                    </w:rPr>
                    <w:t>SO</w:t>
                  </w:r>
                  <w:r>
                    <w:rPr>
                      <w:rFonts w:cs="Times New Roman"/>
                      <w:sz w:val="21"/>
                      <w:szCs w:val="21"/>
                      <w:vertAlign w:val="subscript"/>
                    </w:rPr>
                    <w:t>2</w:t>
                  </w:r>
                </w:p>
              </w:tc>
              <w:tc>
                <w:tcPr>
                  <w:tcW w:w="1188" w:type="pct"/>
                  <w:vAlign w:val="center"/>
                </w:tcPr>
                <w:p>
                  <w:pPr>
                    <w:adjustRightInd w:val="0"/>
                    <w:snapToGrid w:val="0"/>
                    <w:jc w:val="center"/>
                    <w:rPr>
                      <w:rFonts w:cs="Times New Roman"/>
                      <w:sz w:val="21"/>
                      <w:szCs w:val="21"/>
                    </w:rPr>
                  </w:pPr>
                  <w:r>
                    <w:rPr>
                      <w:rFonts w:cs="Times New Roman"/>
                      <w:sz w:val="21"/>
                      <w:szCs w:val="21"/>
                    </w:rPr>
                    <w:t>年平均</w:t>
                  </w:r>
                </w:p>
              </w:tc>
              <w:tc>
                <w:tcPr>
                  <w:tcW w:w="640" w:type="pct"/>
                  <w:vAlign w:val="center"/>
                </w:tcPr>
                <w:p>
                  <w:pPr>
                    <w:adjustRightInd w:val="0"/>
                    <w:snapToGrid w:val="0"/>
                    <w:jc w:val="center"/>
                    <w:rPr>
                      <w:rFonts w:cs="Times New Roman"/>
                      <w:sz w:val="21"/>
                      <w:szCs w:val="21"/>
                    </w:rPr>
                  </w:pPr>
                  <w:r>
                    <w:rPr>
                      <w:rFonts w:cs="Times New Roman"/>
                      <w:sz w:val="21"/>
                      <w:szCs w:val="21"/>
                    </w:rPr>
                    <w:t>60</w:t>
                  </w:r>
                </w:p>
              </w:tc>
              <w:tc>
                <w:tcPr>
                  <w:tcW w:w="822" w:type="pct"/>
                  <w:vMerge w:val="restart"/>
                  <w:vAlign w:val="center"/>
                </w:tcPr>
                <w:p>
                  <w:pPr>
                    <w:adjustRightInd w:val="0"/>
                    <w:snapToGrid w:val="0"/>
                    <w:jc w:val="center"/>
                    <w:rPr>
                      <w:rFonts w:cs="Times New Roman"/>
                      <w:sz w:val="21"/>
                      <w:szCs w:val="21"/>
                    </w:rPr>
                  </w:pPr>
                  <w:r>
                    <w:rPr>
                      <w:rFonts w:cs="Times New Roman"/>
                      <w:sz w:val="21"/>
                      <w:szCs w:val="21"/>
                    </w:rPr>
                    <w:t>μg/m</w:t>
                  </w:r>
                  <w:r>
                    <w:rPr>
                      <w:rFonts w:cs="Times New Roman"/>
                      <w:sz w:val="21"/>
                      <w:szCs w:val="21"/>
                      <w:vertAlign w:val="superscript"/>
                    </w:rPr>
                    <w:t>3</w:t>
                  </w:r>
                </w:p>
              </w:tc>
              <w:tc>
                <w:tcPr>
                  <w:tcW w:w="1511" w:type="pct"/>
                  <w:vMerge w:val="restart"/>
                  <w:vAlign w:val="center"/>
                </w:tcPr>
                <w:p>
                  <w:pPr>
                    <w:adjustRightInd w:val="0"/>
                    <w:snapToGrid w:val="0"/>
                    <w:jc w:val="center"/>
                    <w:rPr>
                      <w:rFonts w:cs="Times New Roman"/>
                      <w:sz w:val="21"/>
                      <w:szCs w:val="21"/>
                    </w:rPr>
                  </w:pPr>
                  <w:r>
                    <w:rPr>
                      <w:rFonts w:cs="Times New Roman"/>
                      <w:sz w:val="21"/>
                      <w:szCs w:val="21"/>
                    </w:rPr>
                    <w:t>《环境空气质量标准》（GB3095-2012）</w:t>
                  </w:r>
                </w:p>
                <w:p>
                  <w:pPr>
                    <w:adjustRightInd w:val="0"/>
                    <w:snapToGrid w:val="0"/>
                    <w:jc w:val="center"/>
                    <w:rPr>
                      <w:rFonts w:cs="Times New Roman"/>
                      <w:sz w:val="21"/>
                      <w:szCs w:val="21"/>
                    </w:rPr>
                  </w:pPr>
                  <w:r>
                    <w:rPr>
                      <w:rFonts w:cs="Times New Roman"/>
                      <w:sz w:val="21"/>
                      <w:szCs w:val="21"/>
                    </w:rPr>
                    <w:t>二级标准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continue"/>
                  <w:vAlign w:val="center"/>
                </w:tcPr>
                <w:p>
                  <w:pPr>
                    <w:widowControl/>
                    <w:adjustRightInd w:val="0"/>
                    <w:snapToGrid w:val="0"/>
                    <w:jc w:val="center"/>
                    <w:rPr>
                      <w:rFonts w:cs="Times New Roman"/>
                      <w:sz w:val="21"/>
                      <w:szCs w:val="21"/>
                      <w:vertAlign w:val="subscript"/>
                    </w:rPr>
                  </w:pPr>
                </w:p>
              </w:tc>
              <w:tc>
                <w:tcPr>
                  <w:tcW w:w="1188" w:type="pct"/>
                  <w:vAlign w:val="center"/>
                </w:tcPr>
                <w:p>
                  <w:pPr>
                    <w:adjustRightInd w:val="0"/>
                    <w:snapToGrid w:val="0"/>
                    <w:jc w:val="center"/>
                    <w:rPr>
                      <w:rFonts w:cs="Times New Roman"/>
                      <w:sz w:val="21"/>
                      <w:szCs w:val="21"/>
                    </w:rPr>
                  </w:pPr>
                  <w:r>
                    <w:rPr>
                      <w:rFonts w:cs="Times New Roman"/>
                      <w:sz w:val="21"/>
                      <w:szCs w:val="21"/>
                    </w:rPr>
                    <w:t>24小时平均</w:t>
                  </w:r>
                </w:p>
              </w:tc>
              <w:tc>
                <w:tcPr>
                  <w:tcW w:w="640" w:type="pct"/>
                  <w:vAlign w:val="center"/>
                </w:tcPr>
                <w:p>
                  <w:pPr>
                    <w:adjustRightInd w:val="0"/>
                    <w:snapToGrid w:val="0"/>
                    <w:jc w:val="center"/>
                    <w:rPr>
                      <w:rFonts w:cs="Times New Roman"/>
                      <w:sz w:val="21"/>
                      <w:szCs w:val="21"/>
                    </w:rPr>
                  </w:pPr>
                  <w:r>
                    <w:rPr>
                      <w:rFonts w:cs="Times New Roman"/>
                      <w:sz w:val="21"/>
                      <w:szCs w:val="21"/>
                    </w:rPr>
                    <w:t>150</w:t>
                  </w:r>
                </w:p>
              </w:tc>
              <w:tc>
                <w:tcPr>
                  <w:tcW w:w="822" w:type="pct"/>
                  <w:vMerge w:val="continue"/>
                  <w:vAlign w:val="center"/>
                </w:tcPr>
                <w:p>
                  <w:pPr>
                    <w:widowControl/>
                    <w:adjustRightInd w:val="0"/>
                    <w:snapToGrid w:val="0"/>
                    <w:jc w:val="center"/>
                    <w:rPr>
                      <w:rFonts w:cs="Times New Roman"/>
                      <w:sz w:val="21"/>
                      <w:szCs w:val="21"/>
                    </w:rPr>
                  </w:pP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continue"/>
                  <w:vAlign w:val="center"/>
                </w:tcPr>
                <w:p>
                  <w:pPr>
                    <w:widowControl/>
                    <w:adjustRightInd w:val="0"/>
                    <w:snapToGrid w:val="0"/>
                    <w:jc w:val="center"/>
                    <w:rPr>
                      <w:rFonts w:cs="Times New Roman"/>
                      <w:sz w:val="21"/>
                      <w:szCs w:val="21"/>
                      <w:vertAlign w:val="subscript"/>
                    </w:rPr>
                  </w:pPr>
                </w:p>
              </w:tc>
              <w:tc>
                <w:tcPr>
                  <w:tcW w:w="1188" w:type="pct"/>
                  <w:vAlign w:val="center"/>
                </w:tcPr>
                <w:p>
                  <w:pPr>
                    <w:adjustRightInd w:val="0"/>
                    <w:snapToGrid w:val="0"/>
                    <w:jc w:val="center"/>
                    <w:rPr>
                      <w:rFonts w:cs="Times New Roman"/>
                      <w:sz w:val="21"/>
                      <w:szCs w:val="21"/>
                    </w:rPr>
                  </w:pPr>
                  <w:r>
                    <w:rPr>
                      <w:rFonts w:cs="Times New Roman"/>
                      <w:sz w:val="21"/>
                      <w:szCs w:val="21"/>
                    </w:rPr>
                    <w:t>1小时平均</w:t>
                  </w:r>
                </w:p>
              </w:tc>
              <w:tc>
                <w:tcPr>
                  <w:tcW w:w="640" w:type="pct"/>
                  <w:vAlign w:val="center"/>
                </w:tcPr>
                <w:p>
                  <w:pPr>
                    <w:adjustRightInd w:val="0"/>
                    <w:snapToGrid w:val="0"/>
                    <w:jc w:val="center"/>
                    <w:rPr>
                      <w:rFonts w:cs="Times New Roman"/>
                      <w:sz w:val="21"/>
                      <w:szCs w:val="21"/>
                    </w:rPr>
                  </w:pPr>
                  <w:r>
                    <w:rPr>
                      <w:rFonts w:cs="Times New Roman"/>
                      <w:sz w:val="21"/>
                      <w:szCs w:val="21"/>
                    </w:rPr>
                    <w:t>500</w:t>
                  </w:r>
                </w:p>
              </w:tc>
              <w:tc>
                <w:tcPr>
                  <w:tcW w:w="822" w:type="pct"/>
                  <w:vMerge w:val="continue"/>
                  <w:vAlign w:val="center"/>
                </w:tcPr>
                <w:p>
                  <w:pPr>
                    <w:widowControl/>
                    <w:adjustRightInd w:val="0"/>
                    <w:snapToGrid w:val="0"/>
                    <w:jc w:val="center"/>
                    <w:rPr>
                      <w:rFonts w:cs="Times New Roman"/>
                      <w:sz w:val="21"/>
                      <w:szCs w:val="21"/>
                    </w:rPr>
                  </w:pP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restart"/>
                  <w:vAlign w:val="center"/>
                </w:tcPr>
                <w:p>
                  <w:pPr>
                    <w:adjustRightInd w:val="0"/>
                    <w:snapToGrid w:val="0"/>
                    <w:jc w:val="center"/>
                    <w:rPr>
                      <w:rFonts w:cs="Times New Roman"/>
                      <w:sz w:val="21"/>
                      <w:szCs w:val="21"/>
                      <w:vertAlign w:val="subscript"/>
                    </w:rPr>
                  </w:pPr>
                  <w:r>
                    <w:rPr>
                      <w:rFonts w:cs="Times New Roman"/>
                      <w:sz w:val="21"/>
                      <w:szCs w:val="21"/>
                    </w:rPr>
                    <w:t>NO</w:t>
                  </w:r>
                  <w:r>
                    <w:rPr>
                      <w:rFonts w:cs="Times New Roman"/>
                      <w:sz w:val="21"/>
                      <w:szCs w:val="21"/>
                      <w:vertAlign w:val="subscript"/>
                    </w:rPr>
                    <w:t>2</w:t>
                  </w:r>
                </w:p>
              </w:tc>
              <w:tc>
                <w:tcPr>
                  <w:tcW w:w="1188" w:type="pct"/>
                  <w:vAlign w:val="center"/>
                </w:tcPr>
                <w:p>
                  <w:pPr>
                    <w:adjustRightInd w:val="0"/>
                    <w:snapToGrid w:val="0"/>
                    <w:jc w:val="center"/>
                    <w:rPr>
                      <w:rFonts w:cs="Times New Roman"/>
                      <w:sz w:val="21"/>
                      <w:szCs w:val="21"/>
                    </w:rPr>
                  </w:pPr>
                  <w:r>
                    <w:rPr>
                      <w:rFonts w:cs="Times New Roman"/>
                      <w:sz w:val="21"/>
                      <w:szCs w:val="21"/>
                    </w:rPr>
                    <w:t>年平均</w:t>
                  </w:r>
                </w:p>
              </w:tc>
              <w:tc>
                <w:tcPr>
                  <w:tcW w:w="640" w:type="pct"/>
                  <w:vAlign w:val="center"/>
                </w:tcPr>
                <w:p>
                  <w:pPr>
                    <w:adjustRightInd w:val="0"/>
                    <w:snapToGrid w:val="0"/>
                    <w:jc w:val="center"/>
                    <w:rPr>
                      <w:rFonts w:cs="Times New Roman"/>
                      <w:sz w:val="21"/>
                      <w:szCs w:val="21"/>
                    </w:rPr>
                  </w:pPr>
                  <w:r>
                    <w:rPr>
                      <w:rFonts w:cs="Times New Roman"/>
                      <w:sz w:val="21"/>
                      <w:szCs w:val="21"/>
                    </w:rPr>
                    <w:t>40</w:t>
                  </w:r>
                </w:p>
              </w:tc>
              <w:tc>
                <w:tcPr>
                  <w:tcW w:w="822" w:type="pct"/>
                  <w:vMerge w:val="restart"/>
                  <w:vAlign w:val="center"/>
                </w:tcPr>
                <w:p>
                  <w:pPr>
                    <w:adjustRightInd w:val="0"/>
                    <w:snapToGrid w:val="0"/>
                    <w:jc w:val="center"/>
                    <w:rPr>
                      <w:rFonts w:cs="Times New Roman"/>
                      <w:sz w:val="21"/>
                      <w:szCs w:val="21"/>
                    </w:rPr>
                  </w:pPr>
                  <w:r>
                    <w:rPr>
                      <w:rFonts w:cs="Times New Roman"/>
                      <w:sz w:val="21"/>
                      <w:szCs w:val="21"/>
                    </w:rPr>
                    <w:t>μg/m</w:t>
                  </w:r>
                  <w:r>
                    <w:rPr>
                      <w:rFonts w:cs="Times New Roman"/>
                      <w:sz w:val="21"/>
                      <w:szCs w:val="21"/>
                      <w:vertAlign w:val="superscript"/>
                    </w:rPr>
                    <w:t>3</w:t>
                  </w: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continue"/>
                  <w:vAlign w:val="center"/>
                </w:tcPr>
                <w:p>
                  <w:pPr>
                    <w:widowControl/>
                    <w:adjustRightInd w:val="0"/>
                    <w:snapToGrid w:val="0"/>
                    <w:jc w:val="center"/>
                    <w:rPr>
                      <w:rFonts w:cs="Times New Roman"/>
                      <w:sz w:val="21"/>
                      <w:szCs w:val="21"/>
                      <w:vertAlign w:val="subscript"/>
                    </w:rPr>
                  </w:pPr>
                </w:p>
              </w:tc>
              <w:tc>
                <w:tcPr>
                  <w:tcW w:w="1188" w:type="pct"/>
                  <w:vAlign w:val="center"/>
                </w:tcPr>
                <w:p>
                  <w:pPr>
                    <w:adjustRightInd w:val="0"/>
                    <w:snapToGrid w:val="0"/>
                    <w:jc w:val="center"/>
                    <w:rPr>
                      <w:rFonts w:cs="Times New Roman"/>
                      <w:sz w:val="21"/>
                      <w:szCs w:val="21"/>
                    </w:rPr>
                  </w:pPr>
                  <w:r>
                    <w:rPr>
                      <w:rFonts w:cs="Times New Roman"/>
                      <w:sz w:val="21"/>
                      <w:szCs w:val="21"/>
                    </w:rPr>
                    <w:t>24小时平均</w:t>
                  </w:r>
                </w:p>
              </w:tc>
              <w:tc>
                <w:tcPr>
                  <w:tcW w:w="640" w:type="pct"/>
                  <w:vAlign w:val="center"/>
                </w:tcPr>
                <w:p>
                  <w:pPr>
                    <w:adjustRightInd w:val="0"/>
                    <w:snapToGrid w:val="0"/>
                    <w:jc w:val="center"/>
                    <w:rPr>
                      <w:rFonts w:cs="Times New Roman"/>
                      <w:sz w:val="21"/>
                      <w:szCs w:val="21"/>
                    </w:rPr>
                  </w:pPr>
                  <w:r>
                    <w:rPr>
                      <w:rFonts w:cs="Times New Roman"/>
                      <w:sz w:val="21"/>
                      <w:szCs w:val="21"/>
                    </w:rPr>
                    <w:t>80</w:t>
                  </w:r>
                </w:p>
              </w:tc>
              <w:tc>
                <w:tcPr>
                  <w:tcW w:w="822" w:type="pct"/>
                  <w:vMerge w:val="continue"/>
                  <w:vAlign w:val="center"/>
                </w:tcPr>
                <w:p>
                  <w:pPr>
                    <w:widowControl/>
                    <w:adjustRightInd w:val="0"/>
                    <w:snapToGrid w:val="0"/>
                    <w:jc w:val="center"/>
                    <w:rPr>
                      <w:rFonts w:cs="Times New Roman"/>
                      <w:sz w:val="21"/>
                      <w:szCs w:val="21"/>
                    </w:rPr>
                  </w:pP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continue"/>
                  <w:vAlign w:val="center"/>
                </w:tcPr>
                <w:p>
                  <w:pPr>
                    <w:widowControl/>
                    <w:adjustRightInd w:val="0"/>
                    <w:snapToGrid w:val="0"/>
                    <w:jc w:val="center"/>
                    <w:rPr>
                      <w:rFonts w:cs="Times New Roman"/>
                      <w:sz w:val="21"/>
                      <w:szCs w:val="21"/>
                      <w:vertAlign w:val="subscript"/>
                    </w:rPr>
                  </w:pPr>
                </w:p>
              </w:tc>
              <w:tc>
                <w:tcPr>
                  <w:tcW w:w="1188" w:type="pct"/>
                  <w:vAlign w:val="center"/>
                </w:tcPr>
                <w:p>
                  <w:pPr>
                    <w:adjustRightInd w:val="0"/>
                    <w:snapToGrid w:val="0"/>
                    <w:jc w:val="center"/>
                    <w:rPr>
                      <w:rFonts w:cs="Times New Roman"/>
                      <w:sz w:val="21"/>
                      <w:szCs w:val="21"/>
                    </w:rPr>
                  </w:pPr>
                  <w:r>
                    <w:rPr>
                      <w:rFonts w:cs="Times New Roman"/>
                      <w:sz w:val="21"/>
                      <w:szCs w:val="21"/>
                    </w:rPr>
                    <w:t>1小时平均</w:t>
                  </w:r>
                </w:p>
              </w:tc>
              <w:tc>
                <w:tcPr>
                  <w:tcW w:w="640" w:type="pct"/>
                  <w:vAlign w:val="center"/>
                </w:tcPr>
                <w:p>
                  <w:pPr>
                    <w:adjustRightInd w:val="0"/>
                    <w:snapToGrid w:val="0"/>
                    <w:jc w:val="center"/>
                    <w:rPr>
                      <w:rFonts w:cs="Times New Roman"/>
                      <w:sz w:val="21"/>
                      <w:szCs w:val="21"/>
                    </w:rPr>
                  </w:pPr>
                  <w:r>
                    <w:rPr>
                      <w:rFonts w:cs="Times New Roman"/>
                      <w:sz w:val="21"/>
                      <w:szCs w:val="21"/>
                    </w:rPr>
                    <w:t>200</w:t>
                  </w:r>
                </w:p>
              </w:tc>
              <w:tc>
                <w:tcPr>
                  <w:tcW w:w="822" w:type="pct"/>
                  <w:vMerge w:val="continue"/>
                  <w:vAlign w:val="center"/>
                </w:tcPr>
                <w:p>
                  <w:pPr>
                    <w:widowControl/>
                    <w:adjustRightInd w:val="0"/>
                    <w:snapToGrid w:val="0"/>
                    <w:jc w:val="center"/>
                    <w:rPr>
                      <w:rFonts w:cs="Times New Roman"/>
                      <w:sz w:val="21"/>
                      <w:szCs w:val="21"/>
                    </w:rPr>
                  </w:pP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restart"/>
                  <w:vAlign w:val="center"/>
                </w:tcPr>
                <w:p>
                  <w:pPr>
                    <w:adjustRightInd w:val="0"/>
                    <w:snapToGrid w:val="0"/>
                    <w:jc w:val="center"/>
                    <w:rPr>
                      <w:rFonts w:cs="Times New Roman"/>
                      <w:sz w:val="21"/>
                      <w:szCs w:val="21"/>
                    </w:rPr>
                  </w:pPr>
                  <w:r>
                    <w:rPr>
                      <w:rFonts w:cs="Times New Roman"/>
                      <w:sz w:val="21"/>
                      <w:szCs w:val="21"/>
                    </w:rPr>
                    <w:t>CO</w:t>
                  </w:r>
                </w:p>
              </w:tc>
              <w:tc>
                <w:tcPr>
                  <w:tcW w:w="1188" w:type="pct"/>
                  <w:vAlign w:val="center"/>
                </w:tcPr>
                <w:p>
                  <w:pPr>
                    <w:adjustRightInd w:val="0"/>
                    <w:snapToGrid w:val="0"/>
                    <w:jc w:val="center"/>
                    <w:rPr>
                      <w:rFonts w:cs="Times New Roman"/>
                      <w:sz w:val="21"/>
                      <w:szCs w:val="21"/>
                    </w:rPr>
                  </w:pPr>
                  <w:r>
                    <w:rPr>
                      <w:rFonts w:cs="Times New Roman"/>
                      <w:sz w:val="21"/>
                      <w:szCs w:val="21"/>
                    </w:rPr>
                    <w:t>24小时平均</w:t>
                  </w:r>
                </w:p>
              </w:tc>
              <w:tc>
                <w:tcPr>
                  <w:tcW w:w="640" w:type="pct"/>
                  <w:vAlign w:val="center"/>
                </w:tcPr>
                <w:p>
                  <w:pPr>
                    <w:adjustRightInd w:val="0"/>
                    <w:snapToGrid w:val="0"/>
                    <w:jc w:val="center"/>
                    <w:rPr>
                      <w:rFonts w:cs="Times New Roman"/>
                      <w:sz w:val="21"/>
                      <w:szCs w:val="21"/>
                    </w:rPr>
                  </w:pPr>
                  <w:r>
                    <w:rPr>
                      <w:rFonts w:cs="Times New Roman"/>
                      <w:sz w:val="21"/>
                      <w:szCs w:val="21"/>
                    </w:rPr>
                    <w:t>4</w:t>
                  </w:r>
                </w:p>
              </w:tc>
              <w:tc>
                <w:tcPr>
                  <w:tcW w:w="822" w:type="pct"/>
                  <w:vMerge w:val="restart"/>
                  <w:vAlign w:val="center"/>
                </w:tcPr>
                <w:p>
                  <w:pPr>
                    <w:adjustRightInd w:val="0"/>
                    <w:snapToGrid w:val="0"/>
                    <w:jc w:val="center"/>
                    <w:rPr>
                      <w:rFonts w:cs="Times New Roman"/>
                      <w:sz w:val="21"/>
                      <w:szCs w:val="21"/>
                    </w:rPr>
                  </w:pPr>
                  <w:r>
                    <w:rPr>
                      <w:rFonts w:cs="Times New Roman"/>
                      <w:sz w:val="21"/>
                      <w:szCs w:val="21"/>
                    </w:rPr>
                    <w:t>mg/m</w:t>
                  </w:r>
                  <w:r>
                    <w:rPr>
                      <w:rFonts w:cs="Times New Roman"/>
                      <w:sz w:val="21"/>
                      <w:szCs w:val="21"/>
                      <w:vertAlign w:val="superscript"/>
                    </w:rPr>
                    <w:t>3</w:t>
                  </w: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continue"/>
                  <w:vAlign w:val="center"/>
                </w:tcPr>
                <w:p>
                  <w:pPr>
                    <w:widowControl/>
                    <w:adjustRightInd w:val="0"/>
                    <w:snapToGrid w:val="0"/>
                    <w:jc w:val="center"/>
                    <w:rPr>
                      <w:rFonts w:cs="Times New Roman"/>
                      <w:sz w:val="21"/>
                      <w:szCs w:val="21"/>
                    </w:rPr>
                  </w:pPr>
                </w:p>
              </w:tc>
              <w:tc>
                <w:tcPr>
                  <w:tcW w:w="1188" w:type="pct"/>
                  <w:vAlign w:val="center"/>
                </w:tcPr>
                <w:p>
                  <w:pPr>
                    <w:adjustRightInd w:val="0"/>
                    <w:snapToGrid w:val="0"/>
                    <w:jc w:val="center"/>
                    <w:rPr>
                      <w:rFonts w:cs="Times New Roman"/>
                      <w:sz w:val="21"/>
                      <w:szCs w:val="21"/>
                    </w:rPr>
                  </w:pPr>
                  <w:r>
                    <w:rPr>
                      <w:rFonts w:cs="Times New Roman"/>
                      <w:sz w:val="21"/>
                      <w:szCs w:val="21"/>
                    </w:rPr>
                    <w:t>1小时平均</w:t>
                  </w:r>
                </w:p>
              </w:tc>
              <w:tc>
                <w:tcPr>
                  <w:tcW w:w="640" w:type="pct"/>
                  <w:vAlign w:val="center"/>
                </w:tcPr>
                <w:p>
                  <w:pPr>
                    <w:adjustRightInd w:val="0"/>
                    <w:snapToGrid w:val="0"/>
                    <w:jc w:val="center"/>
                    <w:rPr>
                      <w:rFonts w:cs="Times New Roman"/>
                      <w:sz w:val="21"/>
                      <w:szCs w:val="21"/>
                    </w:rPr>
                  </w:pPr>
                  <w:r>
                    <w:rPr>
                      <w:rFonts w:cs="Times New Roman"/>
                      <w:sz w:val="21"/>
                      <w:szCs w:val="21"/>
                    </w:rPr>
                    <w:t>10</w:t>
                  </w:r>
                </w:p>
              </w:tc>
              <w:tc>
                <w:tcPr>
                  <w:tcW w:w="822" w:type="pct"/>
                  <w:vMerge w:val="continue"/>
                  <w:vAlign w:val="center"/>
                </w:tcPr>
                <w:p>
                  <w:pPr>
                    <w:widowControl/>
                    <w:adjustRightInd w:val="0"/>
                    <w:snapToGrid w:val="0"/>
                    <w:jc w:val="center"/>
                    <w:rPr>
                      <w:rFonts w:cs="Times New Roman"/>
                      <w:sz w:val="21"/>
                      <w:szCs w:val="21"/>
                    </w:rPr>
                  </w:pP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restart"/>
                  <w:vAlign w:val="center"/>
                </w:tcPr>
                <w:p>
                  <w:pPr>
                    <w:adjustRightInd w:val="0"/>
                    <w:snapToGrid w:val="0"/>
                    <w:jc w:val="center"/>
                    <w:rPr>
                      <w:rFonts w:cs="Times New Roman"/>
                      <w:sz w:val="21"/>
                      <w:szCs w:val="21"/>
                    </w:rPr>
                  </w:pPr>
                  <w:r>
                    <w:rPr>
                      <w:rFonts w:cs="Times New Roman"/>
                      <w:sz w:val="21"/>
                      <w:szCs w:val="21"/>
                    </w:rPr>
                    <w:t>O</w:t>
                  </w:r>
                  <w:r>
                    <w:rPr>
                      <w:rFonts w:cs="Times New Roman"/>
                      <w:sz w:val="21"/>
                      <w:szCs w:val="21"/>
                      <w:vertAlign w:val="subscript"/>
                    </w:rPr>
                    <w:t>3</w:t>
                  </w:r>
                </w:p>
              </w:tc>
              <w:tc>
                <w:tcPr>
                  <w:tcW w:w="1188" w:type="pct"/>
                  <w:vAlign w:val="center"/>
                </w:tcPr>
                <w:p>
                  <w:pPr>
                    <w:adjustRightInd w:val="0"/>
                    <w:snapToGrid w:val="0"/>
                    <w:jc w:val="center"/>
                    <w:rPr>
                      <w:rFonts w:cs="Times New Roman"/>
                      <w:sz w:val="21"/>
                      <w:szCs w:val="21"/>
                    </w:rPr>
                  </w:pPr>
                  <w:r>
                    <w:rPr>
                      <w:rFonts w:cs="Times New Roman"/>
                      <w:sz w:val="21"/>
                      <w:szCs w:val="21"/>
                    </w:rPr>
                    <w:t>日最大8小时平均</w:t>
                  </w:r>
                </w:p>
              </w:tc>
              <w:tc>
                <w:tcPr>
                  <w:tcW w:w="640" w:type="pct"/>
                  <w:vAlign w:val="center"/>
                </w:tcPr>
                <w:p>
                  <w:pPr>
                    <w:adjustRightInd w:val="0"/>
                    <w:snapToGrid w:val="0"/>
                    <w:jc w:val="center"/>
                    <w:rPr>
                      <w:rFonts w:cs="Times New Roman"/>
                      <w:sz w:val="21"/>
                      <w:szCs w:val="21"/>
                    </w:rPr>
                  </w:pPr>
                  <w:r>
                    <w:rPr>
                      <w:rFonts w:cs="Times New Roman"/>
                      <w:sz w:val="21"/>
                      <w:szCs w:val="21"/>
                    </w:rPr>
                    <w:t>160</w:t>
                  </w:r>
                </w:p>
              </w:tc>
              <w:tc>
                <w:tcPr>
                  <w:tcW w:w="822" w:type="pct"/>
                  <w:vMerge w:val="restart"/>
                  <w:vAlign w:val="center"/>
                </w:tcPr>
                <w:p>
                  <w:pPr>
                    <w:adjustRightInd w:val="0"/>
                    <w:snapToGrid w:val="0"/>
                    <w:jc w:val="center"/>
                    <w:rPr>
                      <w:rFonts w:cs="Times New Roman"/>
                      <w:sz w:val="21"/>
                      <w:szCs w:val="21"/>
                    </w:rPr>
                  </w:pPr>
                  <w:r>
                    <w:rPr>
                      <w:rFonts w:cs="Times New Roman"/>
                      <w:sz w:val="21"/>
                      <w:szCs w:val="21"/>
                    </w:rPr>
                    <w:t>μg/m</w:t>
                  </w:r>
                  <w:r>
                    <w:rPr>
                      <w:rFonts w:cs="Times New Roman"/>
                      <w:sz w:val="21"/>
                      <w:szCs w:val="21"/>
                      <w:vertAlign w:val="superscript"/>
                    </w:rPr>
                    <w:t>3</w:t>
                  </w: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continue"/>
                  <w:vAlign w:val="center"/>
                </w:tcPr>
                <w:p>
                  <w:pPr>
                    <w:widowControl/>
                    <w:adjustRightInd w:val="0"/>
                    <w:snapToGrid w:val="0"/>
                    <w:jc w:val="center"/>
                    <w:rPr>
                      <w:rFonts w:cs="Times New Roman"/>
                      <w:sz w:val="21"/>
                      <w:szCs w:val="21"/>
                    </w:rPr>
                  </w:pPr>
                </w:p>
              </w:tc>
              <w:tc>
                <w:tcPr>
                  <w:tcW w:w="1188" w:type="pct"/>
                  <w:vAlign w:val="center"/>
                </w:tcPr>
                <w:p>
                  <w:pPr>
                    <w:adjustRightInd w:val="0"/>
                    <w:snapToGrid w:val="0"/>
                    <w:jc w:val="center"/>
                    <w:rPr>
                      <w:rFonts w:cs="Times New Roman"/>
                      <w:sz w:val="21"/>
                      <w:szCs w:val="21"/>
                    </w:rPr>
                  </w:pPr>
                  <w:r>
                    <w:rPr>
                      <w:rFonts w:cs="Times New Roman"/>
                      <w:sz w:val="21"/>
                      <w:szCs w:val="21"/>
                    </w:rPr>
                    <w:t>1小时平均</w:t>
                  </w:r>
                </w:p>
              </w:tc>
              <w:tc>
                <w:tcPr>
                  <w:tcW w:w="640" w:type="pct"/>
                  <w:vAlign w:val="center"/>
                </w:tcPr>
                <w:p>
                  <w:pPr>
                    <w:adjustRightInd w:val="0"/>
                    <w:snapToGrid w:val="0"/>
                    <w:jc w:val="center"/>
                    <w:rPr>
                      <w:rFonts w:cs="Times New Roman"/>
                      <w:sz w:val="21"/>
                      <w:szCs w:val="21"/>
                    </w:rPr>
                  </w:pPr>
                  <w:r>
                    <w:rPr>
                      <w:rFonts w:cs="Times New Roman"/>
                      <w:sz w:val="21"/>
                      <w:szCs w:val="21"/>
                    </w:rPr>
                    <w:t>200</w:t>
                  </w:r>
                </w:p>
              </w:tc>
              <w:tc>
                <w:tcPr>
                  <w:tcW w:w="822" w:type="pct"/>
                  <w:vMerge w:val="continue"/>
                  <w:vAlign w:val="center"/>
                </w:tcPr>
                <w:p>
                  <w:pPr>
                    <w:widowControl/>
                    <w:adjustRightInd w:val="0"/>
                    <w:snapToGrid w:val="0"/>
                    <w:jc w:val="center"/>
                    <w:rPr>
                      <w:rFonts w:cs="Times New Roman"/>
                      <w:sz w:val="21"/>
                      <w:szCs w:val="21"/>
                    </w:rPr>
                  </w:pP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restart"/>
                  <w:vAlign w:val="center"/>
                </w:tcPr>
                <w:p>
                  <w:pPr>
                    <w:adjustRightInd w:val="0"/>
                    <w:snapToGrid w:val="0"/>
                    <w:jc w:val="center"/>
                    <w:rPr>
                      <w:rFonts w:cs="Times New Roman"/>
                      <w:sz w:val="21"/>
                      <w:szCs w:val="21"/>
                    </w:rPr>
                  </w:pPr>
                  <w:r>
                    <w:rPr>
                      <w:rFonts w:cs="Times New Roman"/>
                      <w:sz w:val="21"/>
                      <w:szCs w:val="21"/>
                    </w:rPr>
                    <w:t>PM</w:t>
                  </w:r>
                  <w:r>
                    <w:rPr>
                      <w:rFonts w:cs="Times New Roman"/>
                      <w:sz w:val="21"/>
                      <w:szCs w:val="21"/>
                      <w:vertAlign w:val="subscript"/>
                    </w:rPr>
                    <w:t>10</w:t>
                  </w:r>
                </w:p>
              </w:tc>
              <w:tc>
                <w:tcPr>
                  <w:tcW w:w="1188" w:type="pct"/>
                  <w:vAlign w:val="center"/>
                </w:tcPr>
                <w:p>
                  <w:pPr>
                    <w:adjustRightInd w:val="0"/>
                    <w:snapToGrid w:val="0"/>
                    <w:jc w:val="center"/>
                    <w:rPr>
                      <w:rFonts w:cs="Times New Roman"/>
                      <w:sz w:val="21"/>
                      <w:szCs w:val="21"/>
                    </w:rPr>
                  </w:pPr>
                  <w:r>
                    <w:rPr>
                      <w:rFonts w:cs="Times New Roman"/>
                      <w:sz w:val="21"/>
                      <w:szCs w:val="21"/>
                    </w:rPr>
                    <w:t>年平均</w:t>
                  </w:r>
                </w:p>
              </w:tc>
              <w:tc>
                <w:tcPr>
                  <w:tcW w:w="640" w:type="pct"/>
                  <w:vAlign w:val="center"/>
                </w:tcPr>
                <w:p>
                  <w:pPr>
                    <w:adjustRightInd w:val="0"/>
                    <w:snapToGrid w:val="0"/>
                    <w:jc w:val="center"/>
                    <w:rPr>
                      <w:rFonts w:cs="Times New Roman"/>
                      <w:sz w:val="21"/>
                      <w:szCs w:val="21"/>
                    </w:rPr>
                  </w:pPr>
                  <w:r>
                    <w:rPr>
                      <w:rFonts w:cs="Times New Roman"/>
                      <w:sz w:val="21"/>
                      <w:szCs w:val="21"/>
                    </w:rPr>
                    <w:t>70</w:t>
                  </w:r>
                </w:p>
              </w:tc>
              <w:tc>
                <w:tcPr>
                  <w:tcW w:w="822" w:type="pct"/>
                  <w:vMerge w:val="restart"/>
                  <w:vAlign w:val="center"/>
                </w:tcPr>
                <w:p>
                  <w:pPr>
                    <w:adjustRightInd w:val="0"/>
                    <w:snapToGrid w:val="0"/>
                    <w:jc w:val="center"/>
                    <w:rPr>
                      <w:rFonts w:cs="Times New Roman"/>
                      <w:sz w:val="21"/>
                      <w:szCs w:val="21"/>
                    </w:rPr>
                  </w:pPr>
                  <w:r>
                    <w:rPr>
                      <w:rFonts w:cs="Times New Roman"/>
                      <w:sz w:val="21"/>
                      <w:szCs w:val="21"/>
                    </w:rPr>
                    <w:t>μg/m</w:t>
                  </w:r>
                  <w:r>
                    <w:rPr>
                      <w:rFonts w:cs="Times New Roman"/>
                      <w:sz w:val="21"/>
                      <w:szCs w:val="21"/>
                      <w:vertAlign w:val="superscript"/>
                    </w:rPr>
                    <w:t>3</w:t>
                  </w: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continue"/>
                  <w:vAlign w:val="center"/>
                </w:tcPr>
                <w:p>
                  <w:pPr>
                    <w:widowControl/>
                    <w:adjustRightInd w:val="0"/>
                    <w:snapToGrid w:val="0"/>
                    <w:jc w:val="center"/>
                    <w:rPr>
                      <w:rFonts w:cs="Times New Roman"/>
                      <w:sz w:val="21"/>
                      <w:szCs w:val="21"/>
                    </w:rPr>
                  </w:pPr>
                </w:p>
              </w:tc>
              <w:tc>
                <w:tcPr>
                  <w:tcW w:w="1188" w:type="pct"/>
                  <w:vAlign w:val="center"/>
                </w:tcPr>
                <w:p>
                  <w:pPr>
                    <w:adjustRightInd w:val="0"/>
                    <w:snapToGrid w:val="0"/>
                    <w:jc w:val="center"/>
                    <w:rPr>
                      <w:rFonts w:cs="Times New Roman"/>
                      <w:sz w:val="21"/>
                      <w:szCs w:val="21"/>
                    </w:rPr>
                  </w:pPr>
                  <w:r>
                    <w:rPr>
                      <w:rFonts w:cs="Times New Roman"/>
                      <w:sz w:val="21"/>
                      <w:szCs w:val="21"/>
                    </w:rPr>
                    <w:t>24小时平均</w:t>
                  </w:r>
                </w:p>
              </w:tc>
              <w:tc>
                <w:tcPr>
                  <w:tcW w:w="640" w:type="pct"/>
                  <w:vAlign w:val="center"/>
                </w:tcPr>
                <w:p>
                  <w:pPr>
                    <w:adjustRightInd w:val="0"/>
                    <w:snapToGrid w:val="0"/>
                    <w:jc w:val="center"/>
                    <w:rPr>
                      <w:rFonts w:cs="Times New Roman"/>
                      <w:sz w:val="21"/>
                      <w:szCs w:val="21"/>
                    </w:rPr>
                  </w:pPr>
                  <w:r>
                    <w:rPr>
                      <w:rFonts w:cs="Times New Roman"/>
                      <w:sz w:val="21"/>
                      <w:szCs w:val="21"/>
                    </w:rPr>
                    <w:t>150</w:t>
                  </w:r>
                </w:p>
              </w:tc>
              <w:tc>
                <w:tcPr>
                  <w:tcW w:w="822" w:type="pct"/>
                  <w:vMerge w:val="continue"/>
                  <w:vAlign w:val="center"/>
                </w:tcPr>
                <w:p>
                  <w:pPr>
                    <w:widowControl/>
                    <w:adjustRightInd w:val="0"/>
                    <w:snapToGrid w:val="0"/>
                    <w:jc w:val="center"/>
                    <w:rPr>
                      <w:rFonts w:cs="Times New Roman"/>
                      <w:sz w:val="21"/>
                      <w:szCs w:val="21"/>
                    </w:rPr>
                  </w:pP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restart"/>
                  <w:vAlign w:val="center"/>
                </w:tcPr>
                <w:p>
                  <w:pPr>
                    <w:adjustRightInd w:val="0"/>
                    <w:snapToGrid w:val="0"/>
                    <w:jc w:val="center"/>
                    <w:rPr>
                      <w:rFonts w:cs="Times New Roman"/>
                      <w:sz w:val="21"/>
                      <w:szCs w:val="21"/>
                    </w:rPr>
                  </w:pPr>
                  <w:r>
                    <w:rPr>
                      <w:rFonts w:cs="Times New Roman"/>
                      <w:sz w:val="21"/>
                      <w:szCs w:val="21"/>
                    </w:rPr>
                    <w:t>PM</w:t>
                  </w:r>
                  <w:r>
                    <w:rPr>
                      <w:rFonts w:cs="Times New Roman"/>
                      <w:sz w:val="21"/>
                      <w:szCs w:val="21"/>
                      <w:vertAlign w:val="subscript"/>
                    </w:rPr>
                    <w:t>2.5</w:t>
                  </w:r>
                </w:p>
              </w:tc>
              <w:tc>
                <w:tcPr>
                  <w:tcW w:w="1188" w:type="pct"/>
                  <w:vAlign w:val="center"/>
                </w:tcPr>
                <w:p>
                  <w:pPr>
                    <w:adjustRightInd w:val="0"/>
                    <w:snapToGrid w:val="0"/>
                    <w:jc w:val="center"/>
                    <w:rPr>
                      <w:rFonts w:cs="Times New Roman"/>
                      <w:sz w:val="21"/>
                      <w:szCs w:val="21"/>
                    </w:rPr>
                  </w:pPr>
                  <w:r>
                    <w:rPr>
                      <w:rFonts w:cs="Times New Roman"/>
                      <w:sz w:val="21"/>
                      <w:szCs w:val="21"/>
                    </w:rPr>
                    <w:t>年平均</w:t>
                  </w:r>
                </w:p>
              </w:tc>
              <w:tc>
                <w:tcPr>
                  <w:tcW w:w="640" w:type="pct"/>
                  <w:vAlign w:val="center"/>
                </w:tcPr>
                <w:p>
                  <w:pPr>
                    <w:adjustRightInd w:val="0"/>
                    <w:snapToGrid w:val="0"/>
                    <w:jc w:val="center"/>
                    <w:rPr>
                      <w:rFonts w:cs="Times New Roman"/>
                      <w:sz w:val="21"/>
                      <w:szCs w:val="21"/>
                    </w:rPr>
                  </w:pPr>
                  <w:r>
                    <w:rPr>
                      <w:rFonts w:cs="Times New Roman"/>
                      <w:sz w:val="21"/>
                      <w:szCs w:val="21"/>
                    </w:rPr>
                    <w:t>35</w:t>
                  </w:r>
                </w:p>
              </w:tc>
              <w:tc>
                <w:tcPr>
                  <w:tcW w:w="822" w:type="pct"/>
                  <w:vMerge w:val="restart"/>
                  <w:vAlign w:val="center"/>
                </w:tcPr>
                <w:p>
                  <w:pPr>
                    <w:adjustRightInd w:val="0"/>
                    <w:snapToGrid w:val="0"/>
                    <w:jc w:val="center"/>
                    <w:rPr>
                      <w:rFonts w:cs="Times New Roman"/>
                      <w:sz w:val="21"/>
                      <w:szCs w:val="21"/>
                    </w:rPr>
                  </w:pPr>
                  <w:r>
                    <w:rPr>
                      <w:rFonts w:cs="Times New Roman"/>
                      <w:sz w:val="21"/>
                      <w:szCs w:val="21"/>
                    </w:rPr>
                    <w:t>μg/m</w:t>
                  </w:r>
                  <w:r>
                    <w:rPr>
                      <w:rFonts w:cs="Times New Roman"/>
                      <w:sz w:val="21"/>
                      <w:szCs w:val="21"/>
                      <w:vertAlign w:val="superscript"/>
                    </w:rPr>
                    <w:t>3</w:t>
                  </w: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continue"/>
                  <w:vAlign w:val="center"/>
                </w:tcPr>
                <w:p>
                  <w:pPr>
                    <w:widowControl/>
                    <w:adjustRightInd w:val="0"/>
                    <w:snapToGrid w:val="0"/>
                    <w:jc w:val="center"/>
                    <w:rPr>
                      <w:rFonts w:cs="Times New Roman"/>
                      <w:sz w:val="21"/>
                      <w:szCs w:val="21"/>
                    </w:rPr>
                  </w:pPr>
                </w:p>
              </w:tc>
              <w:tc>
                <w:tcPr>
                  <w:tcW w:w="1188" w:type="pct"/>
                  <w:vAlign w:val="center"/>
                </w:tcPr>
                <w:p>
                  <w:pPr>
                    <w:adjustRightInd w:val="0"/>
                    <w:snapToGrid w:val="0"/>
                    <w:jc w:val="center"/>
                    <w:rPr>
                      <w:rFonts w:cs="Times New Roman"/>
                      <w:sz w:val="21"/>
                      <w:szCs w:val="21"/>
                    </w:rPr>
                  </w:pPr>
                  <w:r>
                    <w:rPr>
                      <w:rFonts w:cs="Times New Roman"/>
                      <w:sz w:val="21"/>
                      <w:szCs w:val="21"/>
                    </w:rPr>
                    <w:t>24小时平均</w:t>
                  </w:r>
                </w:p>
              </w:tc>
              <w:tc>
                <w:tcPr>
                  <w:tcW w:w="640" w:type="pct"/>
                  <w:vAlign w:val="center"/>
                </w:tcPr>
                <w:p>
                  <w:pPr>
                    <w:adjustRightInd w:val="0"/>
                    <w:snapToGrid w:val="0"/>
                    <w:jc w:val="center"/>
                    <w:rPr>
                      <w:rFonts w:cs="Times New Roman"/>
                      <w:sz w:val="21"/>
                      <w:szCs w:val="21"/>
                    </w:rPr>
                  </w:pPr>
                  <w:r>
                    <w:rPr>
                      <w:rFonts w:cs="Times New Roman"/>
                      <w:sz w:val="21"/>
                      <w:szCs w:val="21"/>
                    </w:rPr>
                    <w:t>75</w:t>
                  </w:r>
                </w:p>
              </w:tc>
              <w:tc>
                <w:tcPr>
                  <w:tcW w:w="822" w:type="pct"/>
                  <w:vMerge w:val="continue"/>
                  <w:tcBorders>
                    <w:bottom w:val="single" w:color="auto" w:sz="4" w:space="0"/>
                  </w:tcBorders>
                  <w:vAlign w:val="center"/>
                </w:tcPr>
                <w:p>
                  <w:pPr>
                    <w:widowControl/>
                    <w:adjustRightInd w:val="0"/>
                    <w:snapToGrid w:val="0"/>
                    <w:jc w:val="center"/>
                    <w:rPr>
                      <w:rFonts w:cs="Times New Roman"/>
                      <w:sz w:val="21"/>
                      <w:szCs w:val="21"/>
                    </w:rPr>
                  </w:pP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restart"/>
                  <w:vAlign w:val="center"/>
                </w:tcPr>
                <w:p>
                  <w:pPr>
                    <w:widowControl/>
                    <w:adjustRightInd w:val="0"/>
                    <w:snapToGrid w:val="0"/>
                    <w:jc w:val="center"/>
                    <w:rPr>
                      <w:rFonts w:cs="Times New Roman"/>
                      <w:sz w:val="21"/>
                      <w:szCs w:val="21"/>
                    </w:rPr>
                  </w:pPr>
                  <w:r>
                    <w:rPr>
                      <w:rFonts w:cs="Times New Roman"/>
                      <w:sz w:val="21"/>
                      <w:szCs w:val="21"/>
                    </w:rPr>
                    <w:t>TSP</w:t>
                  </w:r>
                </w:p>
              </w:tc>
              <w:tc>
                <w:tcPr>
                  <w:tcW w:w="1188" w:type="pct"/>
                  <w:vAlign w:val="center"/>
                </w:tcPr>
                <w:p>
                  <w:pPr>
                    <w:adjustRightInd w:val="0"/>
                    <w:snapToGrid w:val="0"/>
                    <w:jc w:val="center"/>
                    <w:rPr>
                      <w:rFonts w:cs="Times New Roman"/>
                      <w:sz w:val="21"/>
                      <w:szCs w:val="21"/>
                    </w:rPr>
                  </w:pPr>
                  <w:r>
                    <w:rPr>
                      <w:rFonts w:cs="Times New Roman"/>
                      <w:sz w:val="21"/>
                      <w:szCs w:val="21"/>
                    </w:rPr>
                    <w:t>年平均</w:t>
                  </w:r>
                </w:p>
              </w:tc>
              <w:tc>
                <w:tcPr>
                  <w:tcW w:w="640" w:type="pct"/>
                  <w:vAlign w:val="center"/>
                </w:tcPr>
                <w:p>
                  <w:pPr>
                    <w:adjustRightInd w:val="0"/>
                    <w:snapToGrid w:val="0"/>
                    <w:jc w:val="center"/>
                    <w:rPr>
                      <w:rFonts w:cs="Times New Roman"/>
                      <w:sz w:val="21"/>
                      <w:szCs w:val="21"/>
                    </w:rPr>
                  </w:pPr>
                  <w:r>
                    <w:rPr>
                      <w:rFonts w:cs="Times New Roman"/>
                      <w:sz w:val="21"/>
                      <w:szCs w:val="21"/>
                    </w:rPr>
                    <w:t>200</w:t>
                  </w:r>
                </w:p>
              </w:tc>
              <w:tc>
                <w:tcPr>
                  <w:tcW w:w="822" w:type="pct"/>
                  <w:vMerge w:val="restart"/>
                  <w:vAlign w:val="center"/>
                </w:tcPr>
                <w:p>
                  <w:pPr>
                    <w:widowControl/>
                    <w:adjustRightInd w:val="0"/>
                    <w:snapToGrid w:val="0"/>
                    <w:jc w:val="center"/>
                    <w:rPr>
                      <w:rFonts w:cs="Times New Roman"/>
                      <w:sz w:val="21"/>
                      <w:szCs w:val="21"/>
                    </w:rPr>
                  </w:pPr>
                  <w:r>
                    <w:rPr>
                      <w:rFonts w:cs="Times New Roman"/>
                      <w:sz w:val="21"/>
                      <w:szCs w:val="21"/>
                    </w:rPr>
                    <w:t>μg/m</w:t>
                  </w:r>
                  <w:r>
                    <w:rPr>
                      <w:rFonts w:cs="Times New Roman"/>
                      <w:sz w:val="21"/>
                      <w:szCs w:val="21"/>
                      <w:vertAlign w:val="superscript"/>
                    </w:rPr>
                    <w:t>3</w:t>
                  </w:r>
                </w:p>
              </w:tc>
              <w:tc>
                <w:tcPr>
                  <w:tcW w:w="1511" w:type="pct"/>
                  <w:vMerge w:val="continue"/>
                  <w:vAlign w:val="center"/>
                </w:tcPr>
                <w:p>
                  <w:pPr>
                    <w:widowControl/>
                    <w:adjustRightInd w:val="0"/>
                    <w:snapToGrid w:val="0"/>
                    <w:jc w:val="center"/>
                    <w:rPr>
                      <w:rFonts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39" w:type="pct"/>
                  <w:vMerge w:val="continue"/>
                  <w:vAlign w:val="center"/>
                </w:tcPr>
                <w:p>
                  <w:pPr>
                    <w:widowControl/>
                    <w:adjustRightInd w:val="0"/>
                    <w:snapToGrid w:val="0"/>
                    <w:jc w:val="center"/>
                    <w:rPr>
                      <w:rFonts w:cs="Times New Roman"/>
                      <w:sz w:val="21"/>
                      <w:szCs w:val="21"/>
                    </w:rPr>
                  </w:pPr>
                </w:p>
              </w:tc>
              <w:tc>
                <w:tcPr>
                  <w:tcW w:w="1188" w:type="pct"/>
                  <w:vAlign w:val="center"/>
                </w:tcPr>
                <w:p>
                  <w:pPr>
                    <w:adjustRightInd w:val="0"/>
                    <w:snapToGrid w:val="0"/>
                    <w:jc w:val="center"/>
                    <w:rPr>
                      <w:rFonts w:cs="Times New Roman"/>
                      <w:sz w:val="21"/>
                      <w:szCs w:val="21"/>
                    </w:rPr>
                  </w:pPr>
                  <w:r>
                    <w:rPr>
                      <w:rFonts w:cs="Times New Roman"/>
                      <w:sz w:val="21"/>
                      <w:szCs w:val="21"/>
                    </w:rPr>
                    <w:t>24小时平均</w:t>
                  </w:r>
                </w:p>
              </w:tc>
              <w:tc>
                <w:tcPr>
                  <w:tcW w:w="640" w:type="pct"/>
                  <w:vAlign w:val="center"/>
                </w:tcPr>
                <w:p>
                  <w:pPr>
                    <w:adjustRightInd w:val="0"/>
                    <w:snapToGrid w:val="0"/>
                    <w:jc w:val="center"/>
                    <w:rPr>
                      <w:rFonts w:cs="Times New Roman"/>
                      <w:sz w:val="21"/>
                      <w:szCs w:val="21"/>
                    </w:rPr>
                  </w:pPr>
                  <w:r>
                    <w:rPr>
                      <w:rFonts w:cs="Times New Roman"/>
                      <w:sz w:val="21"/>
                      <w:szCs w:val="21"/>
                    </w:rPr>
                    <w:t>300</w:t>
                  </w:r>
                </w:p>
              </w:tc>
              <w:tc>
                <w:tcPr>
                  <w:tcW w:w="822" w:type="pct"/>
                  <w:vMerge w:val="continue"/>
                  <w:tcBorders>
                    <w:bottom w:val="single" w:color="auto" w:sz="4" w:space="0"/>
                  </w:tcBorders>
                  <w:vAlign w:val="center"/>
                </w:tcPr>
                <w:p>
                  <w:pPr>
                    <w:widowControl/>
                    <w:adjustRightInd w:val="0"/>
                    <w:snapToGrid w:val="0"/>
                    <w:jc w:val="center"/>
                    <w:rPr>
                      <w:rFonts w:cs="Times New Roman"/>
                      <w:sz w:val="21"/>
                      <w:szCs w:val="21"/>
                    </w:rPr>
                  </w:pPr>
                </w:p>
              </w:tc>
              <w:tc>
                <w:tcPr>
                  <w:tcW w:w="1511" w:type="pct"/>
                  <w:vMerge w:val="continue"/>
                  <w:tcBorders>
                    <w:bottom w:val="single" w:color="auto" w:sz="4" w:space="0"/>
                  </w:tcBorders>
                  <w:vAlign w:val="center"/>
                </w:tcPr>
                <w:p>
                  <w:pPr>
                    <w:widowControl/>
                    <w:adjustRightInd w:val="0"/>
                    <w:snapToGrid w:val="0"/>
                    <w:jc w:val="center"/>
                    <w:rPr>
                      <w:rFonts w:cs="Times New Roman"/>
                      <w:sz w:val="21"/>
                      <w:szCs w:val="21"/>
                    </w:rPr>
                  </w:pPr>
                </w:p>
              </w:tc>
            </w:tr>
          </w:tbl>
          <w:p>
            <w:pPr>
              <w:adjustRightInd w:val="0"/>
              <w:snapToGrid w:val="0"/>
              <w:spacing w:line="360" w:lineRule="auto"/>
              <w:ind w:firstLine="480" w:firstLineChars="200"/>
              <w:jc w:val="left"/>
              <w:rPr>
                <w:rFonts w:cs="Times New Roman"/>
                <w:color w:val="000000" w:themeColor="text1"/>
              </w:rPr>
            </w:pPr>
            <w:r>
              <w:rPr>
                <w:rFonts w:cs="Times New Roman"/>
                <w:color w:val="000000" w:themeColor="text1"/>
              </w:rPr>
              <w:t>（2）</w:t>
            </w:r>
            <w:r>
              <w:rPr>
                <w:rFonts w:hint="default" w:ascii="Times New Roman" w:hAnsi="Times New Roman" w:cs="Times New Roman"/>
                <w:color w:val="000000" w:themeColor="text1"/>
              </w:rPr>
              <w:t>地表水环境：本项目附近地表水体为长江及松阳湖，长江执行《地表水环境质量标准》(GB3838-2002)中Ⅲ类标准，松阳湖执行《地表水环境质量标准》（GB3838-2002）IV类标准限值，具体详见下表。</w:t>
            </w:r>
          </w:p>
          <w:p>
            <w:pPr>
              <w:pStyle w:val="15"/>
              <w:keepNext/>
              <w:spacing w:line="240" w:lineRule="auto"/>
              <w:rPr>
                <w:rFonts w:cs="Times New Roman" w:eastAsiaTheme="minorEastAsia"/>
                <w:color w:val="000000" w:themeColor="text1"/>
                <w:sz w:val="21"/>
                <w:szCs w:val="21"/>
              </w:rPr>
            </w:pPr>
            <w:r>
              <w:rPr>
                <w:rFonts w:cs="Times New Roman" w:eastAsiaTheme="minorEastAsia"/>
                <w:color w:val="000000" w:themeColor="text1"/>
                <w:sz w:val="21"/>
                <w:szCs w:val="21"/>
              </w:rPr>
              <w:t>表4.1-2 地表水环境质量标准 (GB3838-2002)（单位mg/m</w:t>
            </w:r>
            <w:r>
              <w:rPr>
                <w:rFonts w:cs="Times New Roman" w:eastAsiaTheme="minorEastAsia"/>
                <w:color w:val="000000" w:themeColor="text1"/>
                <w:sz w:val="21"/>
                <w:szCs w:val="21"/>
                <w:vertAlign w:val="superscript"/>
              </w:rPr>
              <w:t>3</w:t>
            </w:r>
            <w:r>
              <w:rPr>
                <w:rFonts w:cs="Times New Roman" w:eastAsiaTheme="minorEastAsia"/>
                <w:color w:val="000000" w:themeColor="text1"/>
                <w:sz w:val="21"/>
                <w:szCs w:val="21"/>
              </w:rPr>
              <w:t>，PH值除外）</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5"/>
              <w:gridCol w:w="2035"/>
              <w:gridCol w:w="1540"/>
              <w:gridCol w:w="1517"/>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78" w:type="dxa"/>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水域名</w:t>
                  </w:r>
                </w:p>
              </w:tc>
              <w:tc>
                <w:tcPr>
                  <w:tcW w:w="2093"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执行标准</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污染物指标</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标准限值</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78" w:type="dxa"/>
                  <w:vMerge w:val="restart"/>
                  <w:tcBorders>
                    <w:top w:val="nil"/>
                    <w:left w:val="single" w:color="auto" w:sz="4" w:space="0"/>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长江</w:t>
                  </w:r>
                </w:p>
              </w:tc>
              <w:tc>
                <w:tcPr>
                  <w:tcW w:w="2093" w:type="dxa"/>
                  <w:vMerge w:val="restart"/>
                  <w:tcBorders>
                    <w:top w:val="nil"/>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《地表水环境质量标准》（GB3838-2002）Ⅲ类水质标准</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PH</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6~9</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DO</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5</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20</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4</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TP</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color w:val="000000" w:themeColor="text1"/>
                      <w:kern w:val="2"/>
                      <w:sz w:val="21"/>
                      <w:szCs w:val="21"/>
                    </w:rPr>
                    <w:t>0.3</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氨氮</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1.0</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TN</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1.0</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78" w:type="dxa"/>
                  <w:vMerge w:val="restart"/>
                  <w:tcBorders>
                    <w:top w:val="nil"/>
                    <w:left w:val="single" w:color="auto" w:sz="4" w:space="0"/>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松阳湖</w:t>
                  </w:r>
                </w:p>
              </w:tc>
              <w:tc>
                <w:tcPr>
                  <w:tcW w:w="2093" w:type="dxa"/>
                  <w:vMerge w:val="restart"/>
                  <w:tcBorders>
                    <w:top w:val="nil"/>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《地表水环境质量标准》（GB3838-2002）IV类水质标准</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PH</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6~9</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DO</w:t>
                  </w:r>
                </w:p>
              </w:tc>
              <w:tc>
                <w:tcPr>
                  <w:tcW w:w="1687" w:type="dxa"/>
                  <w:tcBorders>
                    <w:top w:val="single" w:color="auto" w:sz="4" w:space="0"/>
                    <w:left w:val="nil"/>
                    <w:bottom w:val="single" w:color="auto" w:sz="4" w:space="0"/>
                    <w:right w:val="single" w:color="auto" w:sz="4" w:space="0"/>
                  </w:tcBorders>
                  <w:vAlign w:val="center"/>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3</w:t>
                  </w:r>
                </w:p>
              </w:tc>
              <w:tc>
                <w:tcPr>
                  <w:tcW w:w="1687"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0" w:type="auto"/>
                  <w:tcBorders>
                    <w:top w:val="single" w:color="auto" w:sz="4" w:space="0"/>
                    <w:left w:val="nil"/>
                    <w:bottom w:val="single" w:color="auto" w:sz="4" w:space="0"/>
                    <w:right w:val="single" w:color="auto" w:sz="4" w:space="0"/>
                  </w:tcBorders>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30</w:t>
                  </w: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p>
              </w:tc>
              <w:tc>
                <w:tcPr>
                  <w:tcW w:w="0" w:type="auto"/>
                  <w:tcBorders>
                    <w:top w:val="single" w:color="auto" w:sz="4" w:space="0"/>
                    <w:left w:val="nil"/>
                    <w:bottom w:val="single" w:color="auto" w:sz="4" w:space="0"/>
                    <w:right w:val="single" w:color="auto" w:sz="4" w:space="0"/>
                  </w:tcBorders>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6</w:t>
                  </w: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TP</w:t>
                  </w:r>
                </w:p>
              </w:tc>
              <w:tc>
                <w:tcPr>
                  <w:tcW w:w="0" w:type="auto"/>
                  <w:tcBorders>
                    <w:top w:val="single" w:color="auto" w:sz="4" w:space="0"/>
                    <w:left w:val="nil"/>
                    <w:bottom w:val="single" w:color="auto" w:sz="4" w:space="0"/>
                    <w:right w:val="single" w:color="auto" w:sz="4" w:space="0"/>
                  </w:tcBorders>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0.1</w:t>
                  </w: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氨氮</w:t>
                  </w:r>
                </w:p>
              </w:tc>
              <w:tc>
                <w:tcPr>
                  <w:tcW w:w="0" w:type="auto"/>
                  <w:tcBorders>
                    <w:top w:val="single" w:color="auto" w:sz="4" w:space="0"/>
                    <w:left w:val="nil"/>
                    <w:bottom w:val="single" w:color="auto" w:sz="4" w:space="0"/>
                    <w:right w:val="single" w:color="auto" w:sz="4" w:space="0"/>
                  </w:tcBorders>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1.5</w:t>
                  </w: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vMerge w:val="continue"/>
                  <w:tcBorders>
                    <w:top w:val="nil"/>
                    <w:left w:val="nil"/>
                    <w:bottom w:val="single" w:color="auto" w:sz="4" w:space="0"/>
                    <w:right w:val="single" w:color="auto" w:sz="4" w:space="0"/>
                  </w:tcBorders>
                  <w:vAlign w:val="center"/>
                </w:tcPr>
                <w:p>
                  <w:pPr>
                    <w:widowControl/>
                    <w:jc w:val="left"/>
                    <w:rPr>
                      <w:rFonts w:hint="default" w:ascii="Times New Roman" w:hAnsi="Times New Roman" w:cs="Times New Roman"/>
                      <w:color w:val="000000"/>
                      <w:kern w:val="0"/>
                      <w:sz w:val="21"/>
                      <w:szCs w:val="21"/>
                    </w:rPr>
                  </w:pP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TN</w:t>
                  </w:r>
                </w:p>
              </w:tc>
              <w:tc>
                <w:tcPr>
                  <w:tcW w:w="0" w:type="auto"/>
                  <w:tcBorders>
                    <w:top w:val="single" w:color="auto" w:sz="4" w:space="0"/>
                    <w:left w:val="nil"/>
                    <w:bottom w:val="single" w:color="auto" w:sz="4" w:space="0"/>
                    <w:right w:val="single" w:color="auto" w:sz="4" w:space="0"/>
                  </w:tcBorders>
                </w:tcPr>
                <w:p>
                  <w:pPr>
                    <w:pStyle w:val="82"/>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1.5</w:t>
                  </w:r>
                </w:p>
              </w:tc>
              <w:tc>
                <w:tcPr>
                  <w:tcW w:w="0" w:type="auto"/>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mg/L</w:t>
                  </w:r>
                </w:p>
              </w:tc>
            </w:tr>
          </w:tbl>
          <w:p>
            <w:pPr>
              <w:spacing w:line="360" w:lineRule="auto"/>
              <w:ind w:firstLine="480" w:firstLineChars="200"/>
              <w:jc w:val="left"/>
              <w:rPr>
                <w:rFonts w:eastAsia="宋体" w:cs="Times New Roman"/>
                <w:color w:val="000000" w:themeColor="text1"/>
              </w:rPr>
            </w:pPr>
            <w:r>
              <w:rPr>
                <w:rFonts w:cs="Times New Roman"/>
                <w:color w:val="000000" w:themeColor="text1"/>
              </w:rPr>
              <w:t>（3</w:t>
            </w:r>
            <w:r>
              <w:rPr>
                <w:rFonts w:hint="default" w:ascii="Times New Roman" w:hAnsi="Times New Roman" w:cs="Times New Roman"/>
                <w:color w:val="000000" w:themeColor="text1"/>
              </w:rPr>
              <w:t>）声环境：</w:t>
            </w:r>
            <w:r>
              <w:rPr>
                <w:rFonts w:hint="default" w:ascii="Times New Roman" w:hAnsi="Times New Roman" w:eastAsia="宋体" w:cs="Times New Roman"/>
                <w:color w:val="000000" w:themeColor="text1"/>
              </w:rPr>
              <w:t>本项目西面、南面和东面执行《声环境质量标准》（GB3096-2008）中的3类标准，项目北面执行《声环境质量标准》（GB3096-2008）中的4a类标准；北面70m居民点执照《声环境质量标准》（GB3096-2008）中的2类标准。</w:t>
            </w:r>
          </w:p>
          <w:p>
            <w:pPr>
              <w:pStyle w:val="15"/>
              <w:keepNext/>
              <w:spacing w:line="240" w:lineRule="auto"/>
              <w:rPr>
                <w:rFonts w:hint="default" w:ascii="Times New Roman" w:hAnsi="Times New Roman" w:cs="Times New Roman" w:eastAsiaTheme="minorEastAsia"/>
                <w:color w:val="000000" w:themeColor="text1"/>
                <w:sz w:val="21"/>
                <w:szCs w:val="21"/>
              </w:rPr>
            </w:pPr>
            <w:bookmarkStart w:id="13" w:name="_Ref496520984"/>
            <w:r>
              <w:rPr>
                <w:rFonts w:hint="default" w:ascii="Times New Roman" w:hAnsi="Times New Roman" w:cs="Times New Roman" w:eastAsiaTheme="minorEastAsia"/>
                <w:color w:val="000000" w:themeColor="text1"/>
                <w:sz w:val="21"/>
                <w:szCs w:val="21"/>
              </w:rPr>
              <w:t>表</w:t>
            </w:r>
            <w:bookmarkEnd w:id="13"/>
            <w:r>
              <w:rPr>
                <w:rFonts w:hint="default" w:ascii="Times New Roman" w:hAnsi="Times New Roman" w:cs="Times New Roman" w:eastAsiaTheme="minorEastAsia"/>
                <w:color w:val="000000" w:themeColor="text1"/>
                <w:sz w:val="21"/>
                <w:szCs w:val="21"/>
              </w:rPr>
              <w:t>4.1-4  声环境质量标准表（GB3096-2008）</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2"/>
              <w:gridCol w:w="2604"/>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声功能区类别</w:t>
                  </w:r>
                </w:p>
              </w:tc>
              <w:tc>
                <w:tcPr>
                  <w:tcW w:w="16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昼间dB（A）</w:t>
                  </w:r>
                </w:p>
              </w:tc>
              <w:tc>
                <w:tcPr>
                  <w:tcW w:w="16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2类</w:t>
                  </w:r>
                </w:p>
              </w:tc>
              <w:tc>
                <w:tcPr>
                  <w:tcW w:w="16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≤60</w:t>
                  </w:r>
                </w:p>
              </w:tc>
              <w:tc>
                <w:tcPr>
                  <w:tcW w:w="16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3类</w:t>
                  </w:r>
                </w:p>
              </w:tc>
              <w:tc>
                <w:tcPr>
                  <w:tcW w:w="16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≤65</w:t>
                  </w:r>
                </w:p>
              </w:tc>
              <w:tc>
                <w:tcPr>
                  <w:tcW w:w="16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4a类</w:t>
                  </w:r>
                </w:p>
              </w:tc>
              <w:tc>
                <w:tcPr>
                  <w:tcW w:w="16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≤70</w:t>
                  </w:r>
                </w:p>
              </w:tc>
              <w:tc>
                <w:tcPr>
                  <w:tcW w:w="16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≤55</w:t>
                  </w:r>
                </w:p>
              </w:tc>
            </w:tr>
          </w:tbl>
          <w:p>
            <w:pPr>
              <w:pStyle w:val="15"/>
              <w:keepNext/>
              <w:spacing w:line="240" w:lineRule="auto"/>
              <w:rPr>
                <w:rFonts w:hint="default" w:ascii="Times New Roman" w:hAnsi="Times New Roman" w:cs="Times New Roman" w:eastAsiaTheme="minorEastAsia"/>
                <w:color w:val="000000" w:themeColor="text1"/>
                <w:sz w:val="21"/>
                <w:szCs w:val="21"/>
              </w:rPr>
            </w:pPr>
          </w:p>
          <w:p>
            <w:pPr>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2" w:hRule="atLeast"/>
        </w:trPr>
        <w:tc>
          <w:tcPr>
            <w:tcW w:w="312" w:type="pct"/>
            <w:vAlign w:val="center"/>
          </w:tcPr>
          <w:p>
            <w:pPr>
              <w:spacing w:line="360" w:lineRule="auto"/>
              <w:jc w:val="center"/>
              <w:rPr>
                <w:rFonts w:cs="Times New Roman"/>
                <w:color w:val="000000" w:themeColor="text1"/>
              </w:rPr>
            </w:pPr>
            <w:r>
              <w:rPr>
                <w:rFonts w:cs="Times New Roman"/>
                <w:color w:val="000000" w:themeColor="text1"/>
              </w:rPr>
              <w:t>污</w:t>
            </w:r>
          </w:p>
          <w:p>
            <w:pPr>
              <w:spacing w:line="360" w:lineRule="auto"/>
              <w:jc w:val="center"/>
              <w:rPr>
                <w:rFonts w:cs="Times New Roman"/>
                <w:color w:val="000000" w:themeColor="text1"/>
              </w:rPr>
            </w:pPr>
            <w:r>
              <w:rPr>
                <w:rFonts w:cs="Times New Roman"/>
                <w:color w:val="000000" w:themeColor="text1"/>
              </w:rPr>
              <w:t>染</w:t>
            </w:r>
          </w:p>
          <w:p>
            <w:pPr>
              <w:spacing w:line="360" w:lineRule="auto"/>
              <w:jc w:val="center"/>
              <w:rPr>
                <w:rFonts w:cs="Times New Roman"/>
                <w:color w:val="000000" w:themeColor="text1"/>
              </w:rPr>
            </w:pPr>
            <w:r>
              <w:rPr>
                <w:rFonts w:cs="Times New Roman"/>
                <w:color w:val="000000" w:themeColor="text1"/>
              </w:rPr>
              <w:t>物</w:t>
            </w:r>
          </w:p>
          <w:p>
            <w:pPr>
              <w:spacing w:line="360" w:lineRule="auto"/>
              <w:jc w:val="center"/>
              <w:rPr>
                <w:rFonts w:cs="Times New Roman"/>
                <w:color w:val="000000" w:themeColor="text1"/>
              </w:rPr>
            </w:pPr>
            <w:r>
              <w:rPr>
                <w:rFonts w:cs="Times New Roman"/>
                <w:color w:val="000000" w:themeColor="text1"/>
              </w:rPr>
              <w:t>排</w:t>
            </w:r>
          </w:p>
          <w:p>
            <w:pPr>
              <w:spacing w:line="360" w:lineRule="auto"/>
              <w:jc w:val="center"/>
              <w:rPr>
                <w:rFonts w:cs="Times New Roman"/>
                <w:color w:val="000000" w:themeColor="text1"/>
              </w:rPr>
            </w:pPr>
            <w:r>
              <w:rPr>
                <w:rFonts w:cs="Times New Roman"/>
                <w:color w:val="000000" w:themeColor="text1"/>
              </w:rPr>
              <w:t>放</w:t>
            </w:r>
          </w:p>
          <w:p>
            <w:pPr>
              <w:spacing w:line="360" w:lineRule="auto"/>
              <w:jc w:val="center"/>
              <w:rPr>
                <w:rFonts w:cs="Times New Roman"/>
                <w:color w:val="000000" w:themeColor="text1"/>
              </w:rPr>
            </w:pPr>
            <w:r>
              <w:rPr>
                <w:rFonts w:cs="Times New Roman"/>
                <w:color w:val="000000" w:themeColor="text1"/>
              </w:rPr>
              <w:t>标</w:t>
            </w:r>
          </w:p>
          <w:p>
            <w:pPr>
              <w:spacing w:line="360" w:lineRule="auto"/>
              <w:jc w:val="center"/>
              <w:rPr>
                <w:rFonts w:cs="Times New Roman"/>
                <w:color w:val="000000" w:themeColor="text1"/>
              </w:rPr>
            </w:pPr>
            <w:r>
              <w:rPr>
                <w:rFonts w:cs="Times New Roman"/>
                <w:color w:val="000000" w:themeColor="text1"/>
              </w:rPr>
              <w:t>准</w:t>
            </w:r>
          </w:p>
        </w:tc>
        <w:tc>
          <w:tcPr>
            <w:tcW w:w="4687" w:type="pct"/>
          </w:tcPr>
          <w:p>
            <w:pPr>
              <w:spacing w:line="360" w:lineRule="auto"/>
              <w:rPr>
                <w:rFonts w:cs="Times New Roman"/>
                <w:color w:val="000000" w:themeColor="text1"/>
                <w:kern w:val="0"/>
                <w:szCs w:val="24"/>
              </w:rPr>
            </w:pPr>
            <w:r>
              <w:rPr>
                <w:rFonts w:cs="Times New Roman"/>
                <w:color w:val="000000" w:themeColor="text1"/>
                <w:kern w:val="0"/>
                <w:szCs w:val="24"/>
              </w:rPr>
              <w:t>项目污染物排放执行如下标准：</w:t>
            </w:r>
          </w:p>
          <w:p>
            <w:pPr>
              <w:spacing w:line="360" w:lineRule="auto"/>
              <w:rPr>
                <w:rFonts w:cs="Times New Roman"/>
                <w:color w:val="000000" w:themeColor="text1"/>
                <w:kern w:val="0"/>
                <w:szCs w:val="24"/>
              </w:rPr>
            </w:pPr>
            <w:r>
              <w:rPr>
                <w:rFonts w:cs="Times New Roman"/>
                <w:color w:val="000000" w:themeColor="text1"/>
                <w:kern w:val="0"/>
                <w:szCs w:val="24"/>
              </w:rPr>
              <w:t>一、废水</w:t>
            </w:r>
          </w:p>
          <w:p>
            <w:pPr>
              <w:spacing w:line="360" w:lineRule="auto"/>
              <w:ind w:firstLine="480" w:firstLineChars="200"/>
              <w:rPr>
                <w:rFonts w:cs="Times New Roman"/>
              </w:rPr>
            </w:pPr>
            <w:r>
              <w:rPr>
                <w:rFonts w:cs="Times New Roman"/>
                <w:color w:val="000000" w:themeColor="text1"/>
                <w:kern w:val="0"/>
                <w:szCs w:val="24"/>
              </w:rPr>
              <w:t>（1）施工期：</w:t>
            </w:r>
            <w:r>
              <w:rPr>
                <w:rFonts w:cs="Times New Roman"/>
                <w:szCs w:val="24"/>
              </w:rPr>
              <w:t>生活废水经化粪池处理后经化粪池处理后进入湖南城陵矶临港产业新区污水处理厂处理；施工废水经沉淀池处理后用做地面养护用水，不外排。</w:t>
            </w:r>
          </w:p>
          <w:p>
            <w:pPr>
              <w:spacing w:line="360" w:lineRule="auto"/>
              <w:ind w:firstLine="480" w:firstLineChars="200"/>
              <w:rPr>
                <w:rFonts w:cs="Times New Roman"/>
              </w:rPr>
            </w:pPr>
            <w:r>
              <w:rPr>
                <w:rFonts w:cs="Times New Roman"/>
                <w:color w:val="000000" w:themeColor="text1"/>
                <w:kern w:val="0"/>
                <w:szCs w:val="24"/>
              </w:rPr>
              <w:t>（2）营运期：</w:t>
            </w:r>
            <w:r>
              <w:rPr>
                <w:rFonts w:cs="Times New Roman"/>
                <w:szCs w:val="24"/>
              </w:rPr>
              <w:t>生活污水经隔油池及化粪池处理后，达到《污水综合排放标准》（GB8978-1996）中表</w:t>
            </w:r>
            <w:r>
              <w:rPr>
                <w:rFonts w:cs="Times New Roman"/>
                <w:bCs/>
                <w:color w:val="000000"/>
                <w:sz w:val="21"/>
              </w:rPr>
              <w:t>4</w:t>
            </w:r>
            <w:r>
              <w:rPr>
                <w:rFonts w:cs="Times New Roman"/>
                <w:szCs w:val="24"/>
              </w:rPr>
              <w:t>三级标准后，进入湖南城陵矶临港产业新区污水处理厂处理；生产废水经沉淀池沉淀处理后循环使用，不外排。</w:t>
            </w:r>
          </w:p>
          <w:p>
            <w:pPr>
              <w:jc w:val="center"/>
              <w:rPr>
                <w:rFonts w:cs="Times New Roman"/>
                <w:sz w:val="21"/>
              </w:rPr>
            </w:pPr>
            <w:r>
              <w:rPr>
                <w:rFonts w:cs="Times New Roman"/>
                <w:b/>
                <w:color w:val="000000" w:themeColor="text1"/>
                <w:kern w:val="0"/>
                <w:sz w:val="21"/>
              </w:rPr>
              <w:t xml:space="preserve">表4.1-5 </w:t>
            </w:r>
            <w:r>
              <w:rPr>
                <w:rFonts w:cs="Times New Roman"/>
                <w:b/>
                <w:bCs/>
                <w:sz w:val="21"/>
              </w:rPr>
              <w:t>污水排放标准限值单位：mg/L，pH无量纲</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2618"/>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cs="Times New Roman"/>
                      <w:sz w:val="21"/>
                    </w:rPr>
                  </w:pPr>
                  <w:r>
                    <w:rPr>
                      <w:rFonts w:cs="Times New Roman"/>
                      <w:sz w:val="21"/>
                    </w:rPr>
                    <w:t>序号</w:t>
                  </w:r>
                </w:p>
              </w:tc>
              <w:tc>
                <w:tcPr>
                  <w:tcW w:w="1685" w:type="pct"/>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cs="Times New Roman"/>
                      <w:sz w:val="21"/>
                    </w:rPr>
                  </w:pPr>
                  <w:r>
                    <w:rPr>
                      <w:rFonts w:cs="Times New Roman"/>
                      <w:sz w:val="21"/>
                    </w:rPr>
                    <w:t>污染物</w:t>
                  </w:r>
                </w:p>
              </w:tc>
              <w:tc>
                <w:tcPr>
                  <w:tcW w:w="1814" w:type="pct"/>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cs="Times New Roman"/>
                      <w:sz w:val="21"/>
                    </w:rPr>
                  </w:pPr>
                  <w:r>
                    <w:rPr>
                      <w:rFonts w:cs="Times New Roman"/>
                      <w:sz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cs="Times New Roman"/>
                      <w:sz w:val="21"/>
                    </w:rPr>
                  </w:pPr>
                  <w:r>
                    <w:rPr>
                      <w:rFonts w:cs="Times New Roman"/>
                      <w:sz w:val="21"/>
                    </w:rPr>
                    <w:t>1</w:t>
                  </w:r>
                </w:p>
              </w:tc>
              <w:tc>
                <w:tcPr>
                  <w:tcW w:w="1685"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pH</w:t>
                  </w:r>
                </w:p>
              </w:tc>
              <w:tc>
                <w:tcPr>
                  <w:tcW w:w="1814"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cs="Times New Roman"/>
                      <w:sz w:val="21"/>
                    </w:rPr>
                  </w:pPr>
                  <w:r>
                    <w:rPr>
                      <w:rFonts w:cs="Times New Roman"/>
                      <w:sz w:val="21"/>
                    </w:rPr>
                    <w:t>2</w:t>
                  </w:r>
                </w:p>
              </w:tc>
              <w:tc>
                <w:tcPr>
                  <w:tcW w:w="1685"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COD</w:t>
                  </w:r>
                </w:p>
              </w:tc>
              <w:tc>
                <w:tcPr>
                  <w:tcW w:w="1814"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00"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cs="Times New Roman"/>
                      <w:sz w:val="21"/>
                    </w:rPr>
                  </w:pPr>
                  <w:r>
                    <w:rPr>
                      <w:rFonts w:cs="Times New Roman"/>
                      <w:sz w:val="21"/>
                    </w:rPr>
                    <w:t>3</w:t>
                  </w:r>
                </w:p>
              </w:tc>
              <w:tc>
                <w:tcPr>
                  <w:tcW w:w="1685"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BOD</w:t>
                  </w:r>
                  <w:r>
                    <w:rPr>
                      <w:rFonts w:cs="Times New Roman"/>
                      <w:color w:val="000000"/>
                      <w:sz w:val="21"/>
                      <w:vertAlign w:val="subscript"/>
                    </w:rPr>
                    <w:t>5</w:t>
                  </w:r>
                </w:p>
              </w:tc>
              <w:tc>
                <w:tcPr>
                  <w:tcW w:w="1814"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cs="Times New Roman"/>
                      <w:sz w:val="21"/>
                    </w:rPr>
                  </w:pPr>
                  <w:r>
                    <w:rPr>
                      <w:rFonts w:cs="Times New Roman"/>
                      <w:sz w:val="21"/>
                    </w:rPr>
                    <w:t>4</w:t>
                  </w:r>
                </w:p>
              </w:tc>
              <w:tc>
                <w:tcPr>
                  <w:tcW w:w="1685"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SS</w:t>
                  </w:r>
                </w:p>
              </w:tc>
              <w:tc>
                <w:tcPr>
                  <w:tcW w:w="1814"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cs="Times New Roman"/>
                      <w:sz w:val="21"/>
                    </w:rPr>
                  </w:pPr>
                  <w:r>
                    <w:rPr>
                      <w:rFonts w:cs="Times New Roman"/>
                      <w:sz w:val="21"/>
                    </w:rPr>
                    <w:t>5</w:t>
                  </w:r>
                </w:p>
              </w:tc>
              <w:tc>
                <w:tcPr>
                  <w:tcW w:w="1685"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NH</w:t>
                  </w:r>
                  <w:r>
                    <w:rPr>
                      <w:rFonts w:cs="Times New Roman"/>
                      <w:color w:val="000000"/>
                      <w:sz w:val="21"/>
                      <w:vertAlign w:val="subscript"/>
                    </w:rPr>
                    <w:t>3</w:t>
                  </w:r>
                  <w:r>
                    <w:rPr>
                      <w:rFonts w:cs="Times New Roman"/>
                      <w:color w:val="000000"/>
                      <w:sz w:val="21"/>
                    </w:rPr>
                    <w:t>-N</w:t>
                  </w:r>
                </w:p>
              </w:tc>
              <w:tc>
                <w:tcPr>
                  <w:tcW w:w="1814"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cs="Times New Roman"/>
                      <w:sz w:val="21"/>
                    </w:rPr>
                  </w:pPr>
                  <w:r>
                    <w:rPr>
                      <w:rFonts w:cs="Times New Roman"/>
                      <w:sz w:val="21"/>
                    </w:rPr>
                    <w:t>6</w:t>
                  </w:r>
                </w:p>
              </w:tc>
              <w:tc>
                <w:tcPr>
                  <w:tcW w:w="1685"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动植物油</w:t>
                  </w:r>
                </w:p>
              </w:tc>
              <w:tc>
                <w:tcPr>
                  <w:tcW w:w="1814" w:type="pct"/>
                  <w:tcBorders>
                    <w:top w:val="single" w:color="auto" w:sz="4" w:space="0"/>
                    <w:left w:val="nil"/>
                    <w:bottom w:val="single" w:color="auto" w:sz="4" w:space="0"/>
                    <w:right w:val="single" w:color="auto" w:sz="4" w:space="0"/>
                  </w:tcBorders>
                  <w:noWrap/>
                  <w:vAlign w:val="center"/>
                </w:tcPr>
                <w:p>
                  <w:pPr>
                    <w:adjustRightInd w:val="0"/>
                    <w:snapToGrid w:val="0"/>
                    <w:jc w:val="center"/>
                    <w:rPr>
                      <w:rFonts w:cs="Times New Roman"/>
                      <w:color w:val="000000"/>
                      <w:sz w:val="21"/>
                    </w:rPr>
                  </w:pPr>
                  <w:r>
                    <w:rPr>
                      <w:rFonts w:cs="Times New Roman"/>
                      <w:color w:val="000000"/>
                      <w:sz w:val="21"/>
                    </w:rPr>
                    <w:t>≤100</w:t>
                  </w:r>
                </w:p>
              </w:tc>
            </w:tr>
          </w:tbl>
          <w:p>
            <w:pPr>
              <w:spacing w:line="360" w:lineRule="auto"/>
              <w:rPr>
                <w:rFonts w:cs="Times New Roman"/>
                <w:color w:val="000000" w:themeColor="text1"/>
                <w:kern w:val="0"/>
                <w:szCs w:val="24"/>
              </w:rPr>
            </w:pPr>
            <w:r>
              <w:rPr>
                <w:rFonts w:cs="Times New Roman"/>
                <w:color w:val="000000" w:themeColor="text1"/>
                <w:kern w:val="0"/>
                <w:szCs w:val="24"/>
              </w:rPr>
              <w:t>二、废气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color w:val="000000" w:themeColor="text1"/>
                <w:kern w:val="0"/>
                <w:szCs w:val="24"/>
              </w:rPr>
              <w:t>（1）施工期：</w:t>
            </w:r>
            <w:r>
              <w:rPr>
                <w:rFonts w:cs="Times New Roman"/>
                <w:szCs w:val="24"/>
              </w:rPr>
              <w:t>施工扬尘执行《大气污染物综合排放标准》（GB16297-1996）表2中规定的限值。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2）营运期：项目有组织粉尘排放执行《水泥工业大气污染物排放标准》（GB4915-2013）表2中规定的限值；无组织颗粒物排放执行《水泥工业大气污染物排放标准》（GB4915-2013）表3中规定的限值；食堂油烟排放执行《饮食业油烟排放标准（试行）》（GB18483-2001）表2中规定的限值。</w:t>
            </w:r>
            <w:r>
              <w:rPr>
                <w:rFonts w:cs="Times New Roman"/>
              </w:rPr>
              <w:t>备用柴油发电机尾气和停车场汽车尾气排放标准执行《非道路移动机械用柴油机排气污染物排放限值及测量方法(中国第三、四阶段）》(GB 20891—2014)中第三阶段标准要求，</w:t>
            </w:r>
            <w:r>
              <w:rPr>
                <w:rFonts w:cs="Times New Roman"/>
                <w:szCs w:val="24"/>
              </w:rPr>
              <w:t>具体详见下表。</w:t>
            </w:r>
          </w:p>
          <w:p>
            <w:pPr>
              <w:pStyle w:val="145"/>
              <w:spacing w:beforeLines="0" w:after="0" w:afterAutospacing="0" w:line="240" w:lineRule="auto"/>
              <w:rPr>
                <w:rFonts w:hAnsi="Times New Roman" w:eastAsiaTheme="minorEastAsia"/>
                <w:color w:val="000000"/>
                <w:sz w:val="21"/>
                <w:szCs w:val="21"/>
              </w:rPr>
            </w:pPr>
            <w:r>
              <w:rPr>
                <w:rFonts w:hAnsi="Times New Roman" w:eastAsiaTheme="minorEastAsia"/>
                <w:sz w:val="21"/>
                <w:szCs w:val="21"/>
              </w:rPr>
              <w:t xml:space="preserve">表4.1-6 </w:t>
            </w:r>
            <w:r>
              <w:rPr>
                <w:rFonts w:hAnsi="Times New Roman" w:eastAsiaTheme="minorEastAsia"/>
                <w:color w:val="000000"/>
                <w:sz w:val="21"/>
                <w:szCs w:val="21"/>
              </w:rPr>
              <w:t>废气污染物排放标准限值  （单位：mg/m</w:t>
            </w:r>
            <w:r>
              <w:rPr>
                <w:rFonts w:hAnsi="Times New Roman" w:eastAsiaTheme="minorEastAsia"/>
                <w:color w:val="000000"/>
                <w:sz w:val="21"/>
                <w:szCs w:val="21"/>
                <w:vertAlign w:val="superscript"/>
              </w:rPr>
              <w:t>3</w:t>
            </w:r>
            <w:r>
              <w:rPr>
                <w:rFonts w:hAnsi="Times New Roman" w:eastAsiaTheme="minorEastAsia"/>
                <w:color w:val="000000"/>
                <w:sz w:val="21"/>
                <w:szCs w:val="21"/>
              </w:rPr>
              <w:t>）</w:t>
            </w:r>
          </w:p>
          <w:tbl>
            <w:tblPr>
              <w:tblStyle w:val="33"/>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745"/>
              <w:gridCol w:w="1333"/>
              <w:gridCol w:w="1144"/>
              <w:gridCol w:w="903"/>
              <w:gridCol w:w="1128"/>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47" w:type="pct"/>
                  <w:gridSpan w:val="2"/>
                  <w:vAlign w:val="center"/>
                </w:tcPr>
                <w:p>
                  <w:pPr>
                    <w:adjustRightInd w:val="0"/>
                    <w:snapToGrid w:val="0"/>
                    <w:jc w:val="center"/>
                    <w:rPr>
                      <w:rFonts w:cs="Times New Roman"/>
                      <w:color w:val="000000"/>
                      <w:sz w:val="21"/>
                      <w:szCs w:val="21"/>
                    </w:rPr>
                  </w:pPr>
                  <w:r>
                    <w:rPr>
                      <w:rFonts w:cs="Times New Roman"/>
                      <w:color w:val="000000"/>
                      <w:sz w:val="21"/>
                      <w:szCs w:val="21"/>
                    </w:rPr>
                    <w:t>废气类型</w:t>
                  </w:r>
                </w:p>
              </w:tc>
              <w:tc>
                <w:tcPr>
                  <w:tcW w:w="741" w:type="pct"/>
                  <w:vAlign w:val="center"/>
                </w:tcPr>
                <w:p>
                  <w:pPr>
                    <w:adjustRightInd w:val="0"/>
                    <w:snapToGrid w:val="0"/>
                    <w:jc w:val="center"/>
                    <w:rPr>
                      <w:rFonts w:cs="Times New Roman"/>
                      <w:color w:val="000000"/>
                      <w:sz w:val="21"/>
                      <w:szCs w:val="21"/>
                    </w:rPr>
                  </w:pPr>
                  <w:r>
                    <w:rPr>
                      <w:rFonts w:cs="Times New Roman"/>
                      <w:color w:val="000000"/>
                      <w:sz w:val="21"/>
                      <w:szCs w:val="21"/>
                    </w:rPr>
                    <w:t>污染物</w:t>
                  </w:r>
                </w:p>
              </w:tc>
              <w:tc>
                <w:tcPr>
                  <w:tcW w:w="585" w:type="pct"/>
                  <w:vAlign w:val="center"/>
                </w:tcPr>
                <w:p>
                  <w:pPr>
                    <w:adjustRightInd w:val="0"/>
                    <w:snapToGrid w:val="0"/>
                    <w:jc w:val="center"/>
                    <w:rPr>
                      <w:rFonts w:cs="Times New Roman"/>
                      <w:color w:val="000000"/>
                      <w:sz w:val="21"/>
                      <w:szCs w:val="21"/>
                    </w:rPr>
                  </w:pPr>
                  <w:r>
                    <w:rPr>
                      <w:rFonts w:cs="Times New Roman"/>
                      <w:color w:val="000000"/>
                      <w:sz w:val="21"/>
                      <w:szCs w:val="21"/>
                    </w:rPr>
                    <w:t>排放方式</w:t>
                  </w:r>
                </w:p>
              </w:tc>
              <w:tc>
                <w:tcPr>
                  <w:tcW w:w="731" w:type="pct"/>
                  <w:vAlign w:val="center"/>
                </w:tcPr>
                <w:p>
                  <w:pPr>
                    <w:adjustRightInd w:val="0"/>
                    <w:snapToGrid w:val="0"/>
                    <w:jc w:val="center"/>
                    <w:rPr>
                      <w:rFonts w:cs="Times New Roman"/>
                      <w:color w:val="000000"/>
                      <w:sz w:val="21"/>
                      <w:szCs w:val="21"/>
                    </w:rPr>
                  </w:pPr>
                  <w:r>
                    <w:rPr>
                      <w:rFonts w:cs="Times New Roman"/>
                      <w:color w:val="000000"/>
                      <w:sz w:val="21"/>
                      <w:szCs w:val="21"/>
                    </w:rPr>
                    <w:t>浓度限值</w:t>
                  </w:r>
                </w:p>
              </w:tc>
              <w:tc>
                <w:tcPr>
                  <w:tcW w:w="1596" w:type="pct"/>
                  <w:vAlign w:val="center"/>
                </w:tcPr>
                <w:p>
                  <w:pPr>
                    <w:adjustRightInd w:val="0"/>
                    <w:snapToGrid w:val="0"/>
                    <w:jc w:val="center"/>
                    <w:rPr>
                      <w:rFonts w:cs="Times New Roman"/>
                      <w:color w:val="000000"/>
                      <w:sz w:val="21"/>
                      <w:szCs w:val="21"/>
                    </w:rPr>
                  </w:pPr>
                  <w:r>
                    <w:rPr>
                      <w:rFonts w:cs="Times New Roman"/>
                      <w:color w:val="00000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483" w:type="pct"/>
                  <w:vAlign w:val="center"/>
                </w:tcPr>
                <w:p>
                  <w:pPr>
                    <w:adjustRightInd w:val="0"/>
                    <w:snapToGrid w:val="0"/>
                    <w:jc w:val="center"/>
                    <w:rPr>
                      <w:rFonts w:cs="Times New Roman"/>
                      <w:color w:val="000000"/>
                      <w:sz w:val="21"/>
                      <w:szCs w:val="21"/>
                    </w:rPr>
                  </w:pPr>
                  <w:r>
                    <w:rPr>
                      <w:rFonts w:cs="Times New Roman"/>
                      <w:color w:val="000000"/>
                      <w:sz w:val="21"/>
                      <w:szCs w:val="21"/>
                    </w:rPr>
                    <w:t>施工期</w:t>
                  </w:r>
                </w:p>
              </w:tc>
              <w:tc>
                <w:tcPr>
                  <w:tcW w:w="864" w:type="pct"/>
                  <w:vAlign w:val="center"/>
                </w:tcPr>
                <w:p>
                  <w:pPr>
                    <w:adjustRightInd w:val="0"/>
                    <w:snapToGrid w:val="0"/>
                    <w:jc w:val="center"/>
                    <w:rPr>
                      <w:rFonts w:cs="Times New Roman"/>
                      <w:color w:val="000000"/>
                      <w:sz w:val="21"/>
                      <w:szCs w:val="21"/>
                    </w:rPr>
                  </w:pPr>
                  <w:r>
                    <w:rPr>
                      <w:rFonts w:cs="Times New Roman"/>
                      <w:color w:val="000000"/>
                      <w:sz w:val="21"/>
                      <w:szCs w:val="21"/>
                    </w:rPr>
                    <w:t>施工扬尘</w:t>
                  </w:r>
                </w:p>
              </w:tc>
              <w:tc>
                <w:tcPr>
                  <w:tcW w:w="741" w:type="pct"/>
                  <w:vAlign w:val="center"/>
                </w:tcPr>
                <w:p>
                  <w:pPr>
                    <w:adjustRightInd w:val="0"/>
                    <w:snapToGrid w:val="0"/>
                    <w:jc w:val="center"/>
                    <w:rPr>
                      <w:rFonts w:cs="Times New Roman"/>
                      <w:color w:val="000000"/>
                      <w:sz w:val="21"/>
                      <w:szCs w:val="21"/>
                    </w:rPr>
                  </w:pPr>
                  <w:r>
                    <w:rPr>
                      <w:rFonts w:cs="Times New Roman"/>
                      <w:color w:val="000000"/>
                      <w:sz w:val="21"/>
                      <w:szCs w:val="21"/>
                    </w:rPr>
                    <w:t>颗粒物</w:t>
                  </w:r>
                </w:p>
              </w:tc>
              <w:tc>
                <w:tcPr>
                  <w:tcW w:w="585" w:type="pct"/>
                  <w:vAlign w:val="center"/>
                </w:tcPr>
                <w:p>
                  <w:pPr>
                    <w:adjustRightInd w:val="0"/>
                    <w:snapToGrid w:val="0"/>
                    <w:jc w:val="center"/>
                    <w:rPr>
                      <w:rFonts w:cs="Times New Roman"/>
                      <w:color w:val="000000"/>
                      <w:sz w:val="21"/>
                      <w:szCs w:val="21"/>
                    </w:rPr>
                  </w:pPr>
                  <w:r>
                    <w:rPr>
                      <w:rFonts w:cs="Times New Roman"/>
                      <w:color w:val="000000"/>
                      <w:sz w:val="21"/>
                      <w:szCs w:val="21"/>
                    </w:rPr>
                    <w:t>无组织</w:t>
                  </w:r>
                </w:p>
              </w:tc>
              <w:tc>
                <w:tcPr>
                  <w:tcW w:w="731" w:type="pct"/>
                  <w:vAlign w:val="center"/>
                </w:tcPr>
                <w:p>
                  <w:pPr>
                    <w:adjustRightInd w:val="0"/>
                    <w:snapToGrid w:val="0"/>
                    <w:jc w:val="center"/>
                    <w:rPr>
                      <w:rFonts w:cs="Times New Roman"/>
                      <w:color w:val="000000"/>
                      <w:sz w:val="21"/>
                      <w:szCs w:val="21"/>
                    </w:rPr>
                  </w:pPr>
                  <w:r>
                    <w:rPr>
                      <w:rFonts w:cs="Times New Roman"/>
                      <w:color w:val="000000"/>
                      <w:sz w:val="21"/>
                      <w:szCs w:val="21"/>
                    </w:rPr>
                    <w:t>1.0</w:t>
                  </w:r>
                </w:p>
              </w:tc>
              <w:tc>
                <w:tcPr>
                  <w:tcW w:w="1596" w:type="pct"/>
                  <w:vAlign w:val="center"/>
                </w:tcPr>
                <w:p>
                  <w:pPr>
                    <w:adjustRightInd w:val="0"/>
                    <w:snapToGrid w:val="0"/>
                    <w:jc w:val="center"/>
                    <w:rPr>
                      <w:rFonts w:cs="Times New Roman"/>
                      <w:color w:val="000000"/>
                      <w:sz w:val="21"/>
                      <w:szCs w:val="21"/>
                    </w:rPr>
                  </w:pPr>
                  <w:r>
                    <w:rPr>
                      <w:rFonts w:cs="Times New Roman"/>
                      <w:color w:val="000000"/>
                      <w:sz w:val="21"/>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483" w:type="pct"/>
                  <w:vMerge w:val="restart"/>
                  <w:vAlign w:val="center"/>
                </w:tcPr>
                <w:p>
                  <w:pPr>
                    <w:adjustRightInd w:val="0"/>
                    <w:snapToGrid w:val="0"/>
                    <w:jc w:val="center"/>
                    <w:rPr>
                      <w:rFonts w:cs="Times New Roman"/>
                      <w:color w:val="000000"/>
                      <w:sz w:val="21"/>
                      <w:szCs w:val="21"/>
                    </w:rPr>
                  </w:pPr>
                  <w:r>
                    <w:rPr>
                      <w:rFonts w:cs="Times New Roman"/>
                      <w:color w:val="000000"/>
                      <w:sz w:val="21"/>
                      <w:szCs w:val="21"/>
                    </w:rPr>
                    <w:t>营运期</w:t>
                  </w:r>
                </w:p>
              </w:tc>
              <w:tc>
                <w:tcPr>
                  <w:tcW w:w="864" w:type="pct"/>
                  <w:vMerge w:val="restart"/>
                  <w:vAlign w:val="center"/>
                </w:tcPr>
                <w:p>
                  <w:pPr>
                    <w:adjustRightInd w:val="0"/>
                    <w:snapToGrid w:val="0"/>
                    <w:jc w:val="center"/>
                    <w:rPr>
                      <w:rFonts w:cs="Times New Roman"/>
                      <w:color w:val="000000"/>
                      <w:sz w:val="21"/>
                      <w:szCs w:val="21"/>
                    </w:rPr>
                  </w:pPr>
                  <w:r>
                    <w:rPr>
                      <w:rFonts w:cs="Times New Roman"/>
                      <w:color w:val="000000"/>
                      <w:sz w:val="21"/>
                      <w:szCs w:val="21"/>
                    </w:rPr>
                    <w:t>生产粉尘</w:t>
                  </w:r>
                </w:p>
              </w:tc>
              <w:tc>
                <w:tcPr>
                  <w:tcW w:w="741" w:type="pct"/>
                  <w:vMerge w:val="restart"/>
                  <w:vAlign w:val="center"/>
                </w:tcPr>
                <w:p>
                  <w:pPr>
                    <w:adjustRightInd w:val="0"/>
                    <w:snapToGrid w:val="0"/>
                    <w:jc w:val="center"/>
                    <w:rPr>
                      <w:rFonts w:cs="Times New Roman"/>
                      <w:color w:val="000000"/>
                      <w:sz w:val="21"/>
                      <w:szCs w:val="21"/>
                    </w:rPr>
                  </w:pPr>
                  <w:r>
                    <w:rPr>
                      <w:rFonts w:cs="Times New Roman"/>
                      <w:color w:val="000000"/>
                      <w:sz w:val="21"/>
                      <w:szCs w:val="21"/>
                    </w:rPr>
                    <w:t>颗粒物</w:t>
                  </w:r>
                </w:p>
              </w:tc>
              <w:tc>
                <w:tcPr>
                  <w:tcW w:w="585" w:type="pct"/>
                  <w:vAlign w:val="center"/>
                </w:tcPr>
                <w:p>
                  <w:pPr>
                    <w:adjustRightInd w:val="0"/>
                    <w:snapToGrid w:val="0"/>
                    <w:jc w:val="center"/>
                    <w:rPr>
                      <w:rFonts w:cs="Times New Roman"/>
                      <w:color w:val="000000"/>
                      <w:sz w:val="21"/>
                      <w:szCs w:val="21"/>
                    </w:rPr>
                  </w:pPr>
                  <w:r>
                    <w:rPr>
                      <w:rFonts w:cs="Times New Roman"/>
                      <w:color w:val="000000"/>
                      <w:sz w:val="21"/>
                      <w:szCs w:val="21"/>
                    </w:rPr>
                    <w:t>有组织</w:t>
                  </w:r>
                </w:p>
              </w:tc>
              <w:tc>
                <w:tcPr>
                  <w:tcW w:w="731" w:type="pct"/>
                  <w:vAlign w:val="center"/>
                </w:tcPr>
                <w:p>
                  <w:pPr>
                    <w:adjustRightInd w:val="0"/>
                    <w:snapToGrid w:val="0"/>
                    <w:jc w:val="center"/>
                    <w:rPr>
                      <w:rFonts w:cs="Times New Roman"/>
                      <w:color w:val="000000"/>
                      <w:sz w:val="21"/>
                      <w:szCs w:val="21"/>
                    </w:rPr>
                  </w:pPr>
                  <w:r>
                    <w:rPr>
                      <w:rFonts w:cs="Times New Roman"/>
                      <w:color w:val="000000"/>
                      <w:sz w:val="21"/>
                      <w:szCs w:val="21"/>
                    </w:rPr>
                    <w:t>10</w:t>
                  </w:r>
                </w:p>
              </w:tc>
              <w:tc>
                <w:tcPr>
                  <w:tcW w:w="1596" w:type="pct"/>
                  <w:vMerge w:val="restart"/>
                  <w:vAlign w:val="center"/>
                </w:tcPr>
                <w:p>
                  <w:pPr>
                    <w:adjustRightInd w:val="0"/>
                    <w:snapToGrid w:val="0"/>
                    <w:jc w:val="center"/>
                    <w:rPr>
                      <w:rFonts w:cs="Times New Roman"/>
                      <w:color w:val="000000"/>
                      <w:sz w:val="21"/>
                      <w:szCs w:val="21"/>
                    </w:rPr>
                  </w:pPr>
                  <w:r>
                    <w:rPr>
                      <w:rFonts w:cs="Times New Roman"/>
                      <w:color w:val="000000"/>
                      <w:sz w:val="21"/>
                      <w:szCs w:val="21"/>
                    </w:rPr>
                    <w:t>《水泥工业大气污染物排放标准》（GB4915-2013）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0" w:type="auto"/>
                  <w:vMerge w:val="continue"/>
                  <w:vAlign w:val="center"/>
                </w:tcPr>
                <w:p>
                  <w:pPr>
                    <w:widowControl/>
                    <w:adjustRightInd w:val="0"/>
                    <w:snapToGrid w:val="0"/>
                    <w:jc w:val="left"/>
                    <w:rPr>
                      <w:rFonts w:cs="Times New Roman"/>
                      <w:color w:val="000000"/>
                      <w:sz w:val="21"/>
                      <w:szCs w:val="21"/>
                    </w:rPr>
                  </w:pPr>
                </w:p>
              </w:tc>
              <w:tc>
                <w:tcPr>
                  <w:tcW w:w="0" w:type="auto"/>
                  <w:vMerge w:val="continue"/>
                  <w:vAlign w:val="center"/>
                </w:tcPr>
                <w:p>
                  <w:pPr>
                    <w:widowControl/>
                    <w:adjustRightInd w:val="0"/>
                    <w:snapToGrid w:val="0"/>
                    <w:jc w:val="left"/>
                    <w:rPr>
                      <w:rFonts w:cs="Times New Roman"/>
                      <w:color w:val="000000"/>
                      <w:sz w:val="21"/>
                      <w:szCs w:val="21"/>
                    </w:rPr>
                  </w:pPr>
                </w:p>
              </w:tc>
              <w:tc>
                <w:tcPr>
                  <w:tcW w:w="0" w:type="auto"/>
                  <w:vMerge w:val="continue"/>
                  <w:vAlign w:val="center"/>
                </w:tcPr>
                <w:p>
                  <w:pPr>
                    <w:widowControl/>
                    <w:adjustRightInd w:val="0"/>
                    <w:snapToGrid w:val="0"/>
                    <w:jc w:val="left"/>
                    <w:rPr>
                      <w:rFonts w:cs="Times New Roman"/>
                      <w:color w:val="000000"/>
                      <w:sz w:val="21"/>
                      <w:szCs w:val="21"/>
                    </w:rPr>
                  </w:pPr>
                </w:p>
              </w:tc>
              <w:tc>
                <w:tcPr>
                  <w:tcW w:w="585" w:type="pct"/>
                  <w:vAlign w:val="center"/>
                </w:tcPr>
                <w:p>
                  <w:pPr>
                    <w:adjustRightInd w:val="0"/>
                    <w:snapToGrid w:val="0"/>
                    <w:jc w:val="center"/>
                    <w:rPr>
                      <w:rFonts w:cs="Times New Roman"/>
                      <w:color w:val="000000"/>
                      <w:sz w:val="21"/>
                      <w:szCs w:val="21"/>
                    </w:rPr>
                  </w:pPr>
                  <w:r>
                    <w:rPr>
                      <w:rFonts w:cs="Times New Roman"/>
                      <w:color w:val="000000"/>
                      <w:sz w:val="21"/>
                      <w:szCs w:val="21"/>
                    </w:rPr>
                    <w:t>无组织</w:t>
                  </w:r>
                </w:p>
              </w:tc>
              <w:tc>
                <w:tcPr>
                  <w:tcW w:w="731" w:type="pct"/>
                  <w:vAlign w:val="center"/>
                </w:tcPr>
                <w:p>
                  <w:pPr>
                    <w:adjustRightInd w:val="0"/>
                    <w:snapToGrid w:val="0"/>
                    <w:jc w:val="center"/>
                    <w:rPr>
                      <w:rFonts w:cs="Times New Roman"/>
                      <w:color w:val="000000"/>
                      <w:sz w:val="21"/>
                      <w:szCs w:val="21"/>
                    </w:rPr>
                  </w:pPr>
                  <w:r>
                    <w:rPr>
                      <w:rFonts w:cs="Times New Roman"/>
                      <w:color w:val="000000"/>
                      <w:sz w:val="21"/>
                      <w:szCs w:val="21"/>
                    </w:rPr>
                    <w:t>0.5</w:t>
                  </w:r>
                </w:p>
              </w:tc>
              <w:tc>
                <w:tcPr>
                  <w:tcW w:w="1596" w:type="pct"/>
                  <w:vMerge w:val="continue"/>
                  <w:vAlign w:val="center"/>
                </w:tcPr>
                <w:p>
                  <w:pPr>
                    <w:widowControl/>
                    <w:adjustRightInd w:val="0"/>
                    <w:snapToGrid w:val="0"/>
                    <w:jc w:val="left"/>
                    <w:rPr>
                      <w:rFonts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0" w:type="auto"/>
                  <w:vMerge w:val="continue"/>
                  <w:vAlign w:val="center"/>
                </w:tcPr>
                <w:p>
                  <w:pPr>
                    <w:widowControl/>
                    <w:adjustRightInd w:val="0"/>
                    <w:snapToGrid w:val="0"/>
                    <w:jc w:val="left"/>
                    <w:rPr>
                      <w:rFonts w:cs="Times New Roman"/>
                      <w:color w:val="000000"/>
                      <w:sz w:val="21"/>
                      <w:szCs w:val="21"/>
                    </w:rPr>
                  </w:pPr>
                </w:p>
              </w:tc>
              <w:tc>
                <w:tcPr>
                  <w:tcW w:w="864" w:type="pct"/>
                  <w:vAlign w:val="center"/>
                </w:tcPr>
                <w:p>
                  <w:pPr>
                    <w:adjustRightInd w:val="0"/>
                    <w:snapToGrid w:val="0"/>
                    <w:jc w:val="center"/>
                    <w:rPr>
                      <w:rFonts w:cs="Times New Roman"/>
                      <w:color w:val="000000"/>
                      <w:sz w:val="21"/>
                      <w:szCs w:val="21"/>
                    </w:rPr>
                  </w:pPr>
                  <w:r>
                    <w:rPr>
                      <w:rFonts w:cs="Times New Roman"/>
                      <w:color w:val="000000"/>
                      <w:sz w:val="21"/>
                      <w:szCs w:val="21"/>
                    </w:rPr>
                    <w:t>食堂油烟</w:t>
                  </w:r>
                </w:p>
              </w:tc>
              <w:tc>
                <w:tcPr>
                  <w:tcW w:w="741" w:type="pct"/>
                  <w:vAlign w:val="center"/>
                </w:tcPr>
                <w:p>
                  <w:pPr>
                    <w:adjustRightInd w:val="0"/>
                    <w:snapToGrid w:val="0"/>
                    <w:jc w:val="center"/>
                    <w:rPr>
                      <w:rFonts w:cs="Times New Roman"/>
                      <w:color w:val="000000"/>
                      <w:sz w:val="21"/>
                      <w:szCs w:val="21"/>
                    </w:rPr>
                  </w:pPr>
                  <w:r>
                    <w:rPr>
                      <w:rFonts w:cs="Times New Roman"/>
                      <w:color w:val="000000"/>
                      <w:sz w:val="21"/>
                      <w:szCs w:val="21"/>
                    </w:rPr>
                    <w:t>饮食业油烟</w:t>
                  </w:r>
                </w:p>
              </w:tc>
              <w:tc>
                <w:tcPr>
                  <w:tcW w:w="585" w:type="pct"/>
                  <w:vAlign w:val="center"/>
                </w:tcPr>
                <w:p>
                  <w:pPr>
                    <w:adjustRightInd w:val="0"/>
                    <w:snapToGrid w:val="0"/>
                    <w:jc w:val="center"/>
                    <w:rPr>
                      <w:rFonts w:cs="Times New Roman"/>
                      <w:color w:val="000000"/>
                      <w:sz w:val="21"/>
                      <w:szCs w:val="21"/>
                    </w:rPr>
                  </w:pPr>
                  <w:r>
                    <w:rPr>
                      <w:rFonts w:cs="Times New Roman"/>
                      <w:color w:val="000000"/>
                      <w:sz w:val="21"/>
                      <w:szCs w:val="21"/>
                    </w:rPr>
                    <w:t>有组织</w:t>
                  </w:r>
                </w:p>
              </w:tc>
              <w:tc>
                <w:tcPr>
                  <w:tcW w:w="731" w:type="pct"/>
                  <w:vAlign w:val="center"/>
                </w:tcPr>
                <w:p>
                  <w:pPr>
                    <w:adjustRightInd w:val="0"/>
                    <w:snapToGrid w:val="0"/>
                    <w:jc w:val="center"/>
                    <w:rPr>
                      <w:rFonts w:cs="Times New Roman"/>
                      <w:color w:val="000000"/>
                      <w:sz w:val="21"/>
                      <w:szCs w:val="21"/>
                    </w:rPr>
                  </w:pPr>
                  <w:r>
                    <w:rPr>
                      <w:rFonts w:cs="Times New Roman"/>
                      <w:color w:val="000000"/>
                      <w:sz w:val="21"/>
                      <w:szCs w:val="21"/>
                    </w:rPr>
                    <w:t>2.0</w:t>
                  </w:r>
                </w:p>
              </w:tc>
              <w:tc>
                <w:tcPr>
                  <w:tcW w:w="1596" w:type="pct"/>
                  <w:vAlign w:val="center"/>
                </w:tcPr>
                <w:p>
                  <w:pPr>
                    <w:adjustRightInd w:val="0"/>
                    <w:snapToGrid w:val="0"/>
                    <w:jc w:val="center"/>
                    <w:rPr>
                      <w:rFonts w:cs="Times New Roman"/>
                      <w:color w:val="000000"/>
                      <w:sz w:val="21"/>
                      <w:szCs w:val="21"/>
                    </w:rPr>
                  </w:pPr>
                  <w:r>
                    <w:rPr>
                      <w:rFonts w:cs="Times New Roman"/>
                      <w:color w:val="000000"/>
                      <w:sz w:val="21"/>
                      <w:szCs w:val="21"/>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0" w:type="auto"/>
                  <w:vMerge w:val="continue"/>
                  <w:vAlign w:val="center"/>
                </w:tcPr>
                <w:p>
                  <w:pPr>
                    <w:widowControl/>
                    <w:adjustRightInd w:val="0"/>
                    <w:snapToGrid w:val="0"/>
                    <w:jc w:val="left"/>
                    <w:rPr>
                      <w:rFonts w:cs="Times New Roman"/>
                      <w:color w:val="000000"/>
                      <w:sz w:val="21"/>
                      <w:szCs w:val="21"/>
                    </w:rPr>
                  </w:pPr>
                </w:p>
              </w:tc>
              <w:tc>
                <w:tcPr>
                  <w:tcW w:w="864" w:type="pct"/>
                  <w:vMerge w:val="restart"/>
                  <w:vAlign w:val="center"/>
                </w:tcPr>
                <w:p>
                  <w:pPr>
                    <w:adjustRightInd w:val="0"/>
                    <w:snapToGrid w:val="0"/>
                    <w:jc w:val="center"/>
                    <w:rPr>
                      <w:rFonts w:cs="Times New Roman"/>
                      <w:color w:val="000000"/>
                      <w:sz w:val="21"/>
                      <w:szCs w:val="21"/>
                    </w:rPr>
                  </w:pPr>
                  <w:r>
                    <w:rPr>
                      <w:rFonts w:cs="Times New Roman"/>
                      <w:color w:val="000000"/>
                      <w:sz w:val="21"/>
                      <w:szCs w:val="21"/>
                    </w:rPr>
                    <w:t>备用柴油发电机尾气和停车场汽车尾气</w:t>
                  </w:r>
                </w:p>
              </w:tc>
              <w:tc>
                <w:tcPr>
                  <w:tcW w:w="741" w:type="pct"/>
                  <w:vAlign w:val="center"/>
                </w:tcPr>
                <w:p>
                  <w:pPr>
                    <w:adjustRightInd w:val="0"/>
                    <w:snapToGrid w:val="0"/>
                    <w:jc w:val="center"/>
                    <w:rPr>
                      <w:rFonts w:cs="Times New Roman"/>
                      <w:color w:val="000000"/>
                      <w:sz w:val="21"/>
                      <w:szCs w:val="21"/>
                    </w:rPr>
                  </w:pPr>
                  <w:r>
                    <w:rPr>
                      <w:rFonts w:cs="Times New Roman"/>
                      <w:sz w:val="21"/>
                      <w:szCs w:val="21"/>
                    </w:rPr>
                    <w:t>CO</w:t>
                  </w:r>
                </w:p>
              </w:tc>
              <w:tc>
                <w:tcPr>
                  <w:tcW w:w="585" w:type="pct"/>
                  <w:vMerge w:val="restart"/>
                  <w:vAlign w:val="center"/>
                </w:tcPr>
                <w:p>
                  <w:pPr>
                    <w:adjustRightInd w:val="0"/>
                    <w:snapToGrid w:val="0"/>
                    <w:jc w:val="center"/>
                    <w:rPr>
                      <w:rFonts w:cs="Times New Roman"/>
                      <w:color w:val="000000"/>
                      <w:sz w:val="21"/>
                      <w:szCs w:val="21"/>
                    </w:rPr>
                  </w:pPr>
                  <w:r>
                    <w:rPr>
                      <w:rFonts w:cs="Times New Roman"/>
                      <w:color w:val="000000"/>
                      <w:sz w:val="21"/>
                      <w:szCs w:val="21"/>
                    </w:rPr>
                    <w:t>无组织</w:t>
                  </w:r>
                </w:p>
              </w:tc>
              <w:tc>
                <w:tcPr>
                  <w:tcW w:w="731" w:type="pct"/>
                  <w:vAlign w:val="center"/>
                </w:tcPr>
                <w:p>
                  <w:pPr>
                    <w:adjustRightInd w:val="0"/>
                    <w:snapToGrid w:val="0"/>
                    <w:jc w:val="center"/>
                    <w:rPr>
                      <w:rFonts w:cs="Times New Roman"/>
                      <w:color w:val="000000" w:themeColor="text1"/>
                      <w:sz w:val="21"/>
                      <w:szCs w:val="21"/>
                    </w:rPr>
                  </w:pPr>
                  <w:r>
                    <w:rPr>
                      <w:rFonts w:cs="Times New Roman"/>
                      <w:color w:val="000000" w:themeColor="text1"/>
                      <w:sz w:val="21"/>
                      <w:szCs w:val="21"/>
                    </w:rPr>
                    <w:t>3.5</w:t>
                  </w:r>
                </w:p>
              </w:tc>
              <w:tc>
                <w:tcPr>
                  <w:tcW w:w="1596" w:type="pct"/>
                  <w:vMerge w:val="restart"/>
                  <w:vAlign w:val="center"/>
                </w:tcPr>
                <w:p>
                  <w:pPr>
                    <w:adjustRightInd w:val="0"/>
                    <w:snapToGrid w:val="0"/>
                    <w:jc w:val="center"/>
                    <w:rPr>
                      <w:rFonts w:cs="Times New Roman"/>
                      <w:color w:val="000000"/>
                      <w:sz w:val="21"/>
                      <w:szCs w:val="21"/>
                    </w:rPr>
                  </w:pPr>
                  <w:r>
                    <w:rPr>
                      <w:rFonts w:cs="Times New Roman"/>
                      <w:color w:val="000000"/>
                      <w:sz w:val="21"/>
                      <w:szCs w:val="21"/>
                    </w:rPr>
                    <w:t>《非道路移动机械用柴油机排气污染物排放限值及测量方法(中国第三、四阶段）》(GB 20891—2014)中第三阶段标准要求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0" w:type="auto"/>
                  <w:vMerge w:val="continue"/>
                  <w:vAlign w:val="center"/>
                </w:tcPr>
                <w:p>
                  <w:pPr>
                    <w:widowControl/>
                    <w:adjustRightInd w:val="0"/>
                    <w:snapToGrid w:val="0"/>
                    <w:jc w:val="left"/>
                    <w:rPr>
                      <w:rFonts w:cs="Times New Roman"/>
                      <w:color w:val="000000"/>
                      <w:sz w:val="21"/>
                      <w:szCs w:val="21"/>
                    </w:rPr>
                  </w:pPr>
                </w:p>
              </w:tc>
              <w:tc>
                <w:tcPr>
                  <w:tcW w:w="864" w:type="pct"/>
                  <w:vMerge w:val="continue"/>
                  <w:vAlign w:val="center"/>
                </w:tcPr>
                <w:p>
                  <w:pPr>
                    <w:adjustRightInd w:val="0"/>
                    <w:snapToGrid w:val="0"/>
                    <w:jc w:val="center"/>
                    <w:rPr>
                      <w:rFonts w:cs="Times New Roman"/>
                      <w:color w:val="000000"/>
                      <w:sz w:val="21"/>
                      <w:szCs w:val="21"/>
                    </w:rPr>
                  </w:pPr>
                </w:p>
              </w:tc>
              <w:tc>
                <w:tcPr>
                  <w:tcW w:w="741" w:type="pct"/>
                  <w:vAlign w:val="center"/>
                </w:tcPr>
                <w:p>
                  <w:pPr>
                    <w:adjustRightInd w:val="0"/>
                    <w:snapToGrid w:val="0"/>
                    <w:jc w:val="center"/>
                    <w:rPr>
                      <w:rFonts w:cs="Times New Roman"/>
                      <w:color w:val="000000"/>
                      <w:sz w:val="21"/>
                      <w:szCs w:val="21"/>
                    </w:rPr>
                  </w:pPr>
                  <w:r>
                    <w:rPr>
                      <w:rFonts w:cs="Times New Roman"/>
                      <w:sz w:val="21"/>
                      <w:szCs w:val="21"/>
                    </w:rPr>
                    <w:t>HC+NO</w:t>
                  </w:r>
                  <w:r>
                    <w:rPr>
                      <w:rFonts w:cs="Times New Roman"/>
                      <w:sz w:val="21"/>
                      <w:szCs w:val="21"/>
                      <w:vertAlign w:val="subscript"/>
                    </w:rPr>
                    <w:t>X</w:t>
                  </w:r>
                </w:p>
              </w:tc>
              <w:tc>
                <w:tcPr>
                  <w:tcW w:w="585" w:type="pct"/>
                  <w:vMerge w:val="continue"/>
                  <w:vAlign w:val="center"/>
                </w:tcPr>
                <w:p>
                  <w:pPr>
                    <w:adjustRightInd w:val="0"/>
                    <w:snapToGrid w:val="0"/>
                    <w:jc w:val="center"/>
                    <w:rPr>
                      <w:rFonts w:cs="Times New Roman"/>
                      <w:color w:val="000000"/>
                      <w:sz w:val="21"/>
                      <w:szCs w:val="21"/>
                    </w:rPr>
                  </w:pPr>
                </w:p>
              </w:tc>
              <w:tc>
                <w:tcPr>
                  <w:tcW w:w="731" w:type="pct"/>
                  <w:vAlign w:val="center"/>
                </w:tcPr>
                <w:p>
                  <w:pPr>
                    <w:adjustRightInd w:val="0"/>
                    <w:snapToGrid w:val="0"/>
                    <w:jc w:val="center"/>
                    <w:rPr>
                      <w:rFonts w:cs="Times New Roman"/>
                      <w:color w:val="000000" w:themeColor="text1"/>
                      <w:sz w:val="21"/>
                      <w:szCs w:val="21"/>
                    </w:rPr>
                  </w:pPr>
                  <w:r>
                    <w:rPr>
                      <w:rFonts w:cs="Times New Roman"/>
                      <w:color w:val="000000" w:themeColor="text1"/>
                      <w:sz w:val="21"/>
                      <w:szCs w:val="21"/>
                    </w:rPr>
                    <w:t>6.4</w:t>
                  </w:r>
                </w:p>
              </w:tc>
              <w:tc>
                <w:tcPr>
                  <w:tcW w:w="1596" w:type="pct"/>
                  <w:vMerge w:val="continue"/>
                  <w:vAlign w:val="center"/>
                </w:tcPr>
                <w:p>
                  <w:pPr>
                    <w:adjustRightInd w:val="0"/>
                    <w:snapToGrid w:val="0"/>
                    <w:jc w:val="center"/>
                    <w:rPr>
                      <w:rFonts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0" w:type="auto"/>
                  <w:vMerge w:val="continue"/>
                  <w:vAlign w:val="center"/>
                </w:tcPr>
                <w:p>
                  <w:pPr>
                    <w:widowControl/>
                    <w:adjustRightInd w:val="0"/>
                    <w:snapToGrid w:val="0"/>
                    <w:jc w:val="left"/>
                    <w:rPr>
                      <w:rFonts w:cs="Times New Roman"/>
                      <w:color w:val="000000"/>
                      <w:sz w:val="21"/>
                      <w:szCs w:val="21"/>
                    </w:rPr>
                  </w:pPr>
                </w:p>
              </w:tc>
              <w:tc>
                <w:tcPr>
                  <w:tcW w:w="864" w:type="pct"/>
                  <w:vMerge w:val="continue"/>
                  <w:vAlign w:val="center"/>
                </w:tcPr>
                <w:p>
                  <w:pPr>
                    <w:adjustRightInd w:val="0"/>
                    <w:snapToGrid w:val="0"/>
                    <w:jc w:val="center"/>
                    <w:rPr>
                      <w:rFonts w:cs="Times New Roman"/>
                      <w:color w:val="000000"/>
                      <w:sz w:val="21"/>
                      <w:szCs w:val="21"/>
                    </w:rPr>
                  </w:pPr>
                </w:p>
              </w:tc>
              <w:tc>
                <w:tcPr>
                  <w:tcW w:w="741" w:type="pct"/>
                  <w:vAlign w:val="center"/>
                </w:tcPr>
                <w:p>
                  <w:pPr>
                    <w:adjustRightInd w:val="0"/>
                    <w:snapToGrid w:val="0"/>
                    <w:jc w:val="center"/>
                    <w:rPr>
                      <w:rFonts w:cs="Times New Roman"/>
                      <w:color w:val="000000"/>
                      <w:sz w:val="21"/>
                      <w:szCs w:val="21"/>
                    </w:rPr>
                  </w:pPr>
                  <w:r>
                    <w:rPr>
                      <w:rFonts w:cs="Times New Roman"/>
                      <w:sz w:val="21"/>
                      <w:szCs w:val="21"/>
                    </w:rPr>
                    <w:t>PM</w:t>
                  </w:r>
                </w:p>
              </w:tc>
              <w:tc>
                <w:tcPr>
                  <w:tcW w:w="585" w:type="pct"/>
                  <w:vMerge w:val="continue"/>
                  <w:vAlign w:val="center"/>
                </w:tcPr>
                <w:p>
                  <w:pPr>
                    <w:adjustRightInd w:val="0"/>
                    <w:snapToGrid w:val="0"/>
                    <w:jc w:val="center"/>
                    <w:rPr>
                      <w:rFonts w:cs="Times New Roman"/>
                      <w:color w:val="000000"/>
                      <w:sz w:val="21"/>
                      <w:szCs w:val="21"/>
                    </w:rPr>
                  </w:pPr>
                </w:p>
              </w:tc>
              <w:tc>
                <w:tcPr>
                  <w:tcW w:w="731" w:type="pct"/>
                  <w:vAlign w:val="center"/>
                </w:tcPr>
                <w:p>
                  <w:pPr>
                    <w:adjustRightInd w:val="0"/>
                    <w:snapToGrid w:val="0"/>
                    <w:jc w:val="center"/>
                    <w:rPr>
                      <w:rFonts w:cs="Times New Roman"/>
                      <w:color w:val="000000" w:themeColor="text1"/>
                      <w:sz w:val="21"/>
                      <w:szCs w:val="21"/>
                    </w:rPr>
                  </w:pPr>
                  <w:r>
                    <w:rPr>
                      <w:rFonts w:cs="Times New Roman"/>
                      <w:color w:val="000000" w:themeColor="text1"/>
                      <w:sz w:val="21"/>
                      <w:szCs w:val="21"/>
                    </w:rPr>
                    <w:t>0.2</w:t>
                  </w:r>
                </w:p>
              </w:tc>
              <w:tc>
                <w:tcPr>
                  <w:tcW w:w="1596" w:type="pct"/>
                  <w:vMerge w:val="continue"/>
                  <w:vAlign w:val="center"/>
                </w:tcPr>
                <w:p>
                  <w:pPr>
                    <w:adjustRightInd w:val="0"/>
                    <w:snapToGrid w:val="0"/>
                    <w:jc w:val="center"/>
                    <w:rPr>
                      <w:rFonts w:cs="Times New Roman"/>
                      <w:color w:val="000000"/>
                      <w:sz w:val="21"/>
                      <w:szCs w:val="21"/>
                    </w:rPr>
                  </w:pPr>
                </w:p>
              </w:tc>
            </w:tr>
          </w:tbl>
          <w:p>
            <w:pPr>
              <w:widowControl/>
              <w:spacing w:line="336" w:lineRule="auto"/>
              <w:ind w:firstLine="480"/>
              <w:rPr>
                <w:rFonts w:cs="Times New Roman"/>
                <w:color w:val="000000" w:themeColor="text1"/>
                <w:szCs w:val="24"/>
              </w:rPr>
            </w:pPr>
            <w:r>
              <w:rPr>
                <w:rFonts w:cs="Times New Roman"/>
                <w:color w:val="000000" w:themeColor="text1"/>
              </w:rPr>
              <w:t>（3）噪声：</w:t>
            </w:r>
            <w:r>
              <w:rPr>
                <w:rFonts w:cs="Times New Roman"/>
                <w:color w:val="000000" w:themeColor="text1"/>
                <w:szCs w:val="24"/>
              </w:rPr>
              <w:t>建筑施工期噪声执行《建筑施工场界环境噪声排放标准》（GB12523-2011），本项目西面、南面和东面运营期噪声污染执行《工业企业厂界环境噪声排放标准》（GB12348-2008）中3类标准，本项目</w:t>
            </w:r>
            <w:r>
              <w:rPr>
                <w:rFonts w:hint="eastAsia" w:cs="Times New Roman"/>
                <w:color w:val="000000" w:themeColor="text1"/>
                <w:szCs w:val="24"/>
              </w:rPr>
              <w:t>北</w:t>
            </w:r>
            <w:r>
              <w:rPr>
                <w:rFonts w:cs="Times New Roman"/>
                <w:color w:val="000000" w:themeColor="text1"/>
                <w:szCs w:val="24"/>
              </w:rPr>
              <w:t>面营运期噪声执行《工业企业厂界环境噪声排放标准》（GB12348-2008）中4a类标准。</w:t>
            </w:r>
          </w:p>
          <w:p>
            <w:pPr>
              <w:pStyle w:val="15"/>
              <w:spacing w:line="240" w:lineRule="auto"/>
              <w:rPr>
                <w:rFonts w:cs="Times New Roman" w:eastAsiaTheme="minorEastAsia"/>
                <w:color w:val="000000" w:themeColor="text1"/>
                <w:sz w:val="21"/>
                <w:szCs w:val="21"/>
              </w:rPr>
            </w:pPr>
            <w:r>
              <w:rPr>
                <w:rFonts w:cs="Times New Roman" w:eastAsiaTheme="minorEastAsia"/>
                <w:color w:val="000000" w:themeColor="text1"/>
                <w:sz w:val="21"/>
                <w:szCs w:val="21"/>
              </w:rPr>
              <w:t>表4.1-7 《建筑施工场界环境噪声排放标准》（GB12523-2011）</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9"/>
              <w:gridCol w:w="4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000" w:type="pct"/>
                  <w:gridSpan w:val="2"/>
                  <w:shd w:val="clear" w:color="auto" w:fill="auto"/>
                  <w:vAlign w:val="center"/>
                </w:tcPr>
                <w:p>
                  <w:pPr>
                    <w:ind w:firstLine="420"/>
                    <w:jc w:val="center"/>
                    <w:rPr>
                      <w:rFonts w:cs="Times New Roman"/>
                      <w:color w:val="000000" w:themeColor="text1"/>
                      <w:kern w:val="0"/>
                      <w:sz w:val="21"/>
                    </w:rPr>
                  </w:pPr>
                  <w:r>
                    <w:rPr>
                      <w:rFonts w:cs="Times New Roman"/>
                      <w:color w:val="000000" w:themeColor="text1"/>
                      <w:kern w:val="0"/>
                      <w:sz w:val="21"/>
                    </w:rPr>
                    <w:t>建筑施工场界环境噪声排放限值dB（A）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06" w:type="pct"/>
                  <w:shd w:val="clear" w:color="auto" w:fill="auto"/>
                  <w:vAlign w:val="center"/>
                </w:tcPr>
                <w:p>
                  <w:pPr>
                    <w:ind w:firstLine="420"/>
                    <w:jc w:val="center"/>
                    <w:rPr>
                      <w:rFonts w:cs="Times New Roman"/>
                      <w:color w:val="000000" w:themeColor="text1"/>
                      <w:kern w:val="0"/>
                      <w:sz w:val="21"/>
                    </w:rPr>
                  </w:pPr>
                  <w:r>
                    <w:rPr>
                      <w:rFonts w:cs="Times New Roman"/>
                      <w:color w:val="000000" w:themeColor="text1"/>
                      <w:kern w:val="0"/>
                      <w:sz w:val="21"/>
                    </w:rPr>
                    <w:t>昼间</w:t>
                  </w:r>
                </w:p>
              </w:tc>
              <w:tc>
                <w:tcPr>
                  <w:tcW w:w="2594" w:type="pct"/>
                  <w:shd w:val="clear" w:color="auto" w:fill="auto"/>
                  <w:vAlign w:val="center"/>
                </w:tcPr>
                <w:p>
                  <w:pPr>
                    <w:ind w:firstLine="420"/>
                    <w:jc w:val="center"/>
                    <w:rPr>
                      <w:rFonts w:cs="Times New Roman"/>
                      <w:color w:val="000000" w:themeColor="text1"/>
                      <w:kern w:val="0"/>
                      <w:sz w:val="21"/>
                    </w:rPr>
                  </w:pPr>
                  <w:r>
                    <w:rPr>
                      <w:rFonts w:cs="Times New Roman"/>
                      <w:color w:val="000000" w:themeColor="text1"/>
                      <w:kern w:val="0"/>
                      <w:sz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406" w:type="pct"/>
                  <w:shd w:val="clear" w:color="auto" w:fill="auto"/>
                  <w:vAlign w:val="center"/>
                </w:tcPr>
                <w:p>
                  <w:pPr>
                    <w:ind w:firstLine="420"/>
                    <w:jc w:val="center"/>
                    <w:rPr>
                      <w:rFonts w:cs="Times New Roman"/>
                      <w:color w:val="000000" w:themeColor="text1"/>
                      <w:kern w:val="0"/>
                      <w:sz w:val="21"/>
                    </w:rPr>
                  </w:pPr>
                  <w:r>
                    <w:rPr>
                      <w:rFonts w:cs="Times New Roman"/>
                      <w:color w:val="000000" w:themeColor="text1"/>
                      <w:kern w:val="0"/>
                      <w:sz w:val="21"/>
                    </w:rPr>
                    <w:t>70</w:t>
                  </w:r>
                </w:p>
              </w:tc>
              <w:tc>
                <w:tcPr>
                  <w:tcW w:w="2594" w:type="pct"/>
                  <w:shd w:val="clear" w:color="auto" w:fill="auto"/>
                  <w:vAlign w:val="center"/>
                </w:tcPr>
                <w:p>
                  <w:pPr>
                    <w:ind w:firstLine="420"/>
                    <w:jc w:val="center"/>
                    <w:rPr>
                      <w:rFonts w:cs="Times New Roman"/>
                      <w:color w:val="000000" w:themeColor="text1"/>
                      <w:kern w:val="0"/>
                      <w:sz w:val="21"/>
                    </w:rPr>
                  </w:pPr>
                  <w:r>
                    <w:rPr>
                      <w:rFonts w:cs="Times New Roman"/>
                      <w:color w:val="000000" w:themeColor="text1"/>
                      <w:kern w:val="0"/>
                      <w:sz w:val="21"/>
                    </w:rPr>
                    <w:t>50</w:t>
                  </w:r>
                </w:p>
              </w:tc>
            </w:tr>
          </w:tbl>
          <w:p>
            <w:pPr>
              <w:pStyle w:val="15"/>
              <w:spacing w:line="240" w:lineRule="auto"/>
              <w:rPr>
                <w:rFonts w:cs="Times New Roman" w:eastAsiaTheme="minorEastAsia"/>
                <w:color w:val="000000" w:themeColor="text1"/>
                <w:sz w:val="21"/>
                <w:szCs w:val="21"/>
              </w:rPr>
            </w:pPr>
            <w:r>
              <w:rPr>
                <w:rFonts w:cs="Times New Roman" w:eastAsiaTheme="minorEastAsia"/>
                <w:color w:val="000000" w:themeColor="text1"/>
                <w:sz w:val="21"/>
                <w:szCs w:val="21"/>
              </w:rPr>
              <w:t>表4.1-8工业企业厂界环境噪声排放标准（</w:t>
            </w:r>
            <w:r>
              <w:rPr>
                <w:rFonts w:cs="Times New Roman" w:eastAsiaTheme="minorEastAsia"/>
                <w:color w:val="000000" w:themeColor="text1"/>
                <w:kern w:val="0"/>
                <w:sz w:val="21"/>
                <w:szCs w:val="21"/>
              </w:rPr>
              <w:t>GB 12348-2008</w:t>
            </w:r>
            <w:r>
              <w:rPr>
                <w:rFonts w:cs="Times New Roman" w:eastAsiaTheme="minorEastAsia"/>
                <w:color w:val="000000" w:themeColor="text1"/>
                <w:sz w:val="21"/>
                <w:szCs w:val="21"/>
              </w:rPr>
              <w:t>）</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3"/>
              <w:gridCol w:w="1894"/>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2"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cs="Times New Roman"/>
                      <w:bCs/>
                      <w:color w:val="000000" w:themeColor="text1"/>
                      <w:sz w:val="21"/>
                      <w:szCs w:val="21"/>
                    </w:rPr>
                  </w:pPr>
                  <w:r>
                    <w:rPr>
                      <w:rFonts w:cs="Times New Roman"/>
                      <w:bCs/>
                      <w:color w:val="000000" w:themeColor="text1"/>
                      <w:sz w:val="21"/>
                      <w:szCs w:val="21"/>
                    </w:rPr>
                    <w:t>声环境功能区类别执行时段</w:t>
                  </w:r>
                </w:p>
              </w:tc>
              <w:tc>
                <w:tcPr>
                  <w:tcW w:w="121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cs="Times New Roman"/>
                      <w:bCs/>
                      <w:color w:val="000000" w:themeColor="text1"/>
                      <w:sz w:val="21"/>
                      <w:szCs w:val="21"/>
                    </w:rPr>
                  </w:pPr>
                  <w:r>
                    <w:rPr>
                      <w:rFonts w:cs="Times New Roman"/>
                      <w:bCs/>
                      <w:color w:val="000000" w:themeColor="text1"/>
                      <w:sz w:val="21"/>
                      <w:szCs w:val="21"/>
                    </w:rPr>
                    <w:t>昼    间</w:t>
                  </w:r>
                </w:p>
              </w:tc>
              <w:tc>
                <w:tcPr>
                  <w:tcW w:w="128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cs="Times New Roman"/>
                      <w:bCs/>
                      <w:color w:val="000000" w:themeColor="text1"/>
                      <w:sz w:val="21"/>
                      <w:szCs w:val="21"/>
                    </w:rPr>
                  </w:pPr>
                  <w:r>
                    <w:rPr>
                      <w:rFonts w:cs="Times New Roman"/>
                      <w:bCs/>
                      <w:color w:val="000000" w:themeColor="text1"/>
                      <w:sz w:val="21"/>
                      <w:szCs w:val="21"/>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2"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cs="Times New Roman"/>
                      <w:bCs/>
                      <w:color w:val="000000" w:themeColor="text1"/>
                      <w:sz w:val="21"/>
                      <w:szCs w:val="21"/>
                    </w:rPr>
                  </w:pPr>
                  <w:r>
                    <w:rPr>
                      <w:rFonts w:cs="Times New Roman"/>
                      <w:bCs/>
                      <w:color w:val="000000" w:themeColor="text1"/>
                      <w:sz w:val="21"/>
                      <w:szCs w:val="21"/>
                    </w:rPr>
                    <w:t>3类</w:t>
                  </w:r>
                </w:p>
              </w:tc>
              <w:tc>
                <w:tcPr>
                  <w:tcW w:w="121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cs="Times New Roman"/>
                      <w:color w:val="000000" w:themeColor="text1"/>
                      <w:sz w:val="21"/>
                      <w:szCs w:val="21"/>
                    </w:rPr>
                  </w:pPr>
                  <w:r>
                    <w:rPr>
                      <w:rFonts w:cs="Times New Roman"/>
                      <w:color w:val="000000" w:themeColor="text1"/>
                      <w:sz w:val="21"/>
                      <w:szCs w:val="21"/>
                    </w:rPr>
                    <w:t>65</w:t>
                  </w:r>
                </w:p>
              </w:tc>
              <w:tc>
                <w:tcPr>
                  <w:tcW w:w="128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cs="Times New Roman"/>
                      <w:color w:val="000000" w:themeColor="text1"/>
                      <w:sz w:val="21"/>
                      <w:szCs w:val="21"/>
                    </w:rPr>
                  </w:pPr>
                  <w:r>
                    <w:rPr>
                      <w:rFonts w:cs="Times New Roman"/>
                      <w:color w:val="000000" w:themeColor="text1"/>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2"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cs="Times New Roman"/>
                      <w:bCs/>
                      <w:color w:val="000000" w:themeColor="text1"/>
                      <w:sz w:val="21"/>
                      <w:szCs w:val="21"/>
                    </w:rPr>
                  </w:pPr>
                  <w:r>
                    <w:rPr>
                      <w:rFonts w:cs="Times New Roman"/>
                      <w:bCs/>
                      <w:color w:val="000000" w:themeColor="text1"/>
                      <w:sz w:val="21"/>
                      <w:szCs w:val="21"/>
                    </w:rPr>
                    <w:t>4a</w:t>
                  </w:r>
                </w:p>
              </w:tc>
              <w:tc>
                <w:tcPr>
                  <w:tcW w:w="121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cs="Times New Roman"/>
                      <w:color w:val="000000" w:themeColor="text1"/>
                      <w:sz w:val="21"/>
                      <w:szCs w:val="21"/>
                    </w:rPr>
                  </w:pPr>
                  <w:r>
                    <w:rPr>
                      <w:rFonts w:cs="Times New Roman"/>
                      <w:color w:val="000000" w:themeColor="text1"/>
                      <w:sz w:val="21"/>
                      <w:szCs w:val="21"/>
                    </w:rPr>
                    <w:t>70</w:t>
                  </w:r>
                </w:p>
              </w:tc>
              <w:tc>
                <w:tcPr>
                  <w:tcW w:w="1289" w:type="pct"/>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cs="Times New Roman"/>
                      <w:color w:val="000000" w:themeColor="text1"/>
                      <w:sz w:val="21"/>
                      <w:szCs w:val="21"/>
                    </w:rPr>
                  </w:pPr>
                  <w:r>
                    <w:rPr>
                      <w:rFonts w:cs="Times New Roman"/>
                      <w:color w:val="000000" w:themeColor="text1"/>
                      <w:sz w:val="21"/>
                      <w:szCs w:val="21"/>
                    </w:rPr>
                    <w:t>55</w:t>
                  </w:r>
                </w:p>
              </w:tc>
            </w:tr>
          </w:tbl>
          <w:p>
            <w:pPr>
              <w:autoSpaceDE w:val="0"/>
              <w:autoSpaceDN w:val="0"/>
              <w:adjustRightInd w:val="0"/>
              <w:snapToGrid w:val="0"/>
              <w:spacing w:line="360" w:lineRule="auto"/>
              <w:ind w:firstLine="480" w:firstLineChars="200"/>
              <w:rPr>
                <w:rFonts w:cs="Times New Roman"/>
                <w:color w:val="FF0000"/>
                <w:kern w:val="0"/>
              </w:rPr>
            </w:pPr>
            <w:r>
              <w:rPr>
                <w:rFonts w:cs="Times New Roman"/>
                <w:color w:val="000000" w:themeColor="text1"/>
              </w:rPr>
              <w:t>（4）</w:t>
            </w:r>
            <w:r>
              <w:rPr>
                <w:rFonts w:cs="Times New Roman"/>
                <w:color w:val="000000" w:themeColor="text1"/>
                <w:kern w:val="0"/>
                <w:szCs w:val="24"/>
              </w:rPr>
              <w:t>固体废物：</w:t>
            </w:r>
            <w:r>
              <w:rPr>
                <w:rFonts w:cs="Times New Roman"/>
              </w:rPr>
              <w:t>一般固体废弃物执行《一般工业固体废弃物贮存、处置场污染控制标准》（GB18599-2001）中标准及环境保护部2013年第36号修改单公告。危险废物执行《危险废物贮存污染控制标准》（GB18597-2001）及修改单（环境保护部公告2013年第 36号）中的有关规定。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trPr>
        <w:tc>
          <w:tcPr>
            <w:tcW w:w="312" w:type="pct"/>
            <w:vAlign w:val="center"/>
          </w:tcPr>
          <w:p>
            <w:pPr>
              <w:spacing w:line="360" w:lineRule="auto"/>
              <w:jc w:val="center"/>
              <w:rPr>
                <w:rFonts w:cs="Times New Roman"/>
                <w:color w:val="000000" w:themeColor="text1"/>
              </w:rPr>
            </w:pPr>
            <w:r>
              <w:rPr>
                <w:rFonts w:cs="Times New Roman"/>
                <w:color w:val="000000" w:themeColor="text1"/>
              </w:rPr>
              <w:t>总量控制指标</w:t>
            </w:r>
          </w:p>
          <w:p>
            <w:pPr>
              <w:spacing w:line="360" w:lineRule="auto"/>
              <w:rPr>
                <w:rFonts w:cs="Times New Roman"/>
                <w:color w:val="000000" w:themeColor="text1"/>
              </w:rPr>
            </w:pPr>
          </w:p>
        </w:tc>
        <w:tc>
          <w:tcPr>
            <w:tcW w:w="4687" w:type="pct"/>
          </w:tcPr>
          <w:p>
            <w:pPr>
              <w:spacing w:line="360" w:lineRule="auto"/>
              <w:ind w:firstLine="480" w:firstLineChars="200"/>
              <w:rPr>
                <w:rFonts w:cs="Times New Roman"/>
                <w:color w:val="000000" w:themeColor="text1"/>
                <w:szCs w:val="24"/>
              </w:rPr>
            </w:pPr>
            <w:r>
              <w:rPr>
                <w:rFonts w:cs="Times New Roman"/>
                <w:color w:val="000000" w:themeColor="text1"/>
                <w:szCs w:val="24"/>
              </w:rPr>
              <w:t>根据《国家环境保护“十三五”主要污染物减排规划》，湖南省总量指标控制为二氧化硫（SO</w:t>
            </w:r>
            <w:r>
              <w:rPr>
                <w:rFonts w:cs="Times New Roman"/>
                <w:color w:val="000000" w:themeColor="text1"/>
                <w:szCs w:val="24"/>
                <w:vertAlign w:val="subscript"/>
              </w:rPr>
              <w:t>2</w:t>
            </w:r>
            <w:r>
              <w:rPr>
                <w:rFonts w:cs="Times New Roman"/>
                <w:color w:val="000000" w:themeColor="text1"/>
                <w:szCs w:val="24"/>
              </w:rPr>
              <w:t>）、氮氧化物（NO</w:t>
            </w:r>
            <w:r>
              <w:rPr>
                <w:rFonts w:cs="Times New Roman"/>
                <w:color w:val="000000" w:themeColor="text1"/>
                <w:szCs w:val="24"/>
                <w:vertAlign w:val="subscript"/>
              </w:rPr>
              <w:t>X</w:t>
            </w:r>
            <w:r>
              <w:rPr>
                <w:rFonts w:cs="Times New Roman"/>
                <w:color w:val="000000" w:themeColor="text1"/>
                <w:szCs w:val="24"/>
              </w:rPr>
              <w:t>）、化学需氧量（COD）和氨氮（NH</w:t>
            </w:r>
            <w:r>
              <w:rPr>
                <w:rFonts w:cs="Times New Roman"/>
                <w:color w:val="000000" w:themeColor="text1"/>
                <w:szCs w:val="24"/>
                <w:vertAlign w:val="subscript"/>
              </w:rPr>
              <w:t>3</w:t>
            </w:r>
            <w:r>
              <w:rPr>
                <w:rFonts w:cs="Times New Roman"/>
                <w:color w:val="000000" w:themeColor="text1"/>
                <w:szCs w:val="24"/>
              </w:rPr>
              <w:t>-N），推荐性总量指标控制为VOCs。</w:t>
            </w:r>
          </w:p>
          <w:p>
            <w:pPr>
              <w:spacing w:line="360" w:lineRule="auto"/>
              <w:ind w:firstLine="480" w:firstLineChars="200"/>
              <w:rPr>
                <w:rFonts w:cs="Times New Roman"/>
                <w:color w:val="000000" w:themeColor="text1"/>
                <w:szCs w:val="24"/>
              </w:rPr>
            </w:pPr>
            <w:r>
              <w:rPr>
                <w:rFonts w:cs="Times New Roman"/>
                <w:color w:val="000000" w:themeColor="text1"/>
                <w:szCs w:val="24"/>
              </w:rPr>
              <w:t>本项目生产废水及初期雨水经沉淀池沉淀后回用至生产，不外排。生活污水经隔油池、化粪池处理后经管网进入湖南城陵矶临港产业新区污水处理厂处理外排。经核算COD为0.</w:t>
            </w:r>
            <w:r>
              <w:rPr>
                <w:rFonts w:hint="eastAsia" w:cs="Times New Roman"/>
                <w:color w:val="000000" w:themeColor="text1"/>
                <w:szCs w:val="24"/>
              </w:rPr>
              <w:t>5</w:t>
            </w:r>
            <w:r>
              <w:rPr>
                <w:rFonts w:cs="Times New Roman"/>
                <w:color w:val="000000" w:themeColor="text1"/>
                <w:szCs w:val="24"/>
              </w:rPr>
              <w:t>t/a，氨氮为</w:t>
            </w:r>
            <w:r>
              <w:rPr>
                <w:rFonts w:hint="eastAsia" w:cs="Times New Roman"/>
                <w:color w:val="000000" w:themeColor="text1"/>
                <w:szCs w:val="24"/>
              </w:rPr>
              <w:t>0.04</w:t>
            </w:r>
            <w:r>
              <w:rPr>
                <w:rFonts w:cs="Times New Roman"/>
                <w:color w:val="000000" w:themeColor="text1"/>
                <w:szCs w:val="24"/>
              </w:rPr>
              <w:t>t/a。污水纳入湖南城陵矶临港产业新区污水处理厂，不再另行申请总量。</w:t>
            </w:r>
          </w:p>
          <w:p>
            <w:pPr>
              <w:autoSpaceDE w:val="0"/>
              <w:autoSpaceDN w:val="0"/>
              <w:adjustRightInd w:val="0"/>
              <w:spacing w:line="360" w:lineRule="auto"/>
              <w:ind w:firstLine="480" w:firstLineChars="200"/>
              <w:jc w:val="left"/>
              <w:rPr>
                <w:rFonts w:cs="Times New Roman"/>
                <w:color w:val="000000" w:themeColor="text1"/>
                <w:kern w:val="0"/>
                <w:szCs w:val="24"/>
              </w:rPr>
            </w:pPr>
          </w:p>
        </w:tc>
      </w:tr>
    </w:tbl>
    <w:p>
      <w:pPr>
        <w:pStyle w:val="4"/>
        <w:rPr>
          <w:rFonts w:cs="Times New Roman" w:eastAsiaTheme="minorEastAsia"/>
          <w:color w:val="000000" w:themeColor="text1"/>
        </w:rPr>
      </w:pPr>
      <w:bookmarkStart w:id="14" w:name="_Toc1460"/>
      <w:r>
        <w:rPr>
          <w:rFonts w:cs="Times New Roman" w:eastAsiaTheme="minorEastAsia"/>
          <w:color w:val="000000" w:themeColor="text1"/>
        </w:rPr>
        <w:t>建设项目工程分析</w:t>
      </w:r>
      <w:bookmarkEnd w:id="14"/>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5" w:hRule="atLeast"/>
        </w:trPr>
        <w:tc>
          <w:tcPr>
            <w:tcW w:w="5000" w:type="pct"/>
          </w:tcPr>
          <w:p>
            <w:pPr>
              <w:pStyle w:val="6"/>
              <w:rPr>
                <w:rFonts w:cs="Times New Roman"/>
              </w:rPr>
            </w:pPr>
            <w:r>
              <w:rPr>
                <w:rFonts w:cs="Times New Roman"/>
              </w:rPr>
              <w:t>工艺流程简述（图示）</w:t>
            </w:r>
          </w:p>
          <w:p>
            <w:pPr>
              <w:spacing w:line="360" w:lineRule="auto"/>
              <w:ind w:firstLine="480" w:firstLineChars="200"/>
              <w:rPr>
                <w:rFonts w:cs="Times New Roman"/>
              </w:rPr>
            </w:pPr>
            <w:r>
              <w:rPr>
                <w:rFonts w:cs="Times New Roman"/>
              </w:rPr>
              <w:t>项目的实施主要分为施工期和营运期两个阶段。</w:t>
            </w:r>
          </w:p>
          <w:p>
            <w:pPr>
              <w:pStyle w:val="7"/>
              <w:rPr>
                <w:rFonts w:cs="Times New Roman" w:eastAsiaTheme="minorEastAsia"/>
              </w:rPr>
            </w:pPr>
            <w:r>
              <w:rPr>
                <w:rFonts w:cs="Times New Roman" w:eastAsiaTheme="minorEastAsia"/>
              </w:rPr>
              <w:t>施工期工艺流程图</w:t>
            </w:r>
          </w:p>
          <w:p>
            <w:pPr>
              <w:spacing w:line="360" w:lineRule="auto"/>
              <w:ind w:firstLine="480" w:firstLineChars="200"/>
              <w:rPr>
                <w:rFonts w:cs="Times New Roman"/>
              </w:rPr>
            </w:pPr>
            <w:r>
              <w:rPr>
                <w:rFonts w:cs="Times New Roman"/>
              </w:rPr>
              <w:t>施工期首先进行基础施工、主体施工，随后进行设备安装调试，然后工程验收。施工期主要污染为施工噪声、施工扬尘、施工废水、施工人员生活污水、生活垃圾、建筑垃圾等，施工期工艺流程及产污环节见图5-1。</w:t>
            </w:r>
          </w:p>
          <w:p>
            <w:pPr>
              <w:spacing w:line="360" w:lineRule="auto"/>
              <w:ind w:firstLine="480" w:firstLineChars="200"/>
              <w:jc w:val="center"/>
              <w:rPr>
                <w:rFonts w:cs="Times New Roman"/>
              </w:rPr>
            </w:pPr>
            <w:r>
              <w:rPr>
                <w:rFonts w:cs="Times New Roman"/>
              </w:rPr>
              <w:object>
                <v:shape id="_x0000_i1027" o:spt="75" type="#_x0000_t75" style="height:75pt;width:384.75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spacing w:line="360" w:lineRule="auto"/>
              <w:ind w:firstLine="482" w:firstLineChars="200"/>
              <w:jc w:val="center"/>
              <w:rPr>
                <w:rFonts w:cs="Times New Roman"/>
                <w:b/>
              </w:rPr>
            </w:pPr>
            <w:r>
              <w:rPr>
                <w:rFonts w:cs="Times New Roman"/>
                <w:b/>
              </w:rPr>
              <w:t>图</w:t>
            </w:r>
            <w:r>
              <w:rPr>
                <w:rFonts w:cs="Times New Roman"/>
                <w:b/>
              </w:rPr>
              <w:fldChar w:fldCharType="begin"/>
            </w:r>
            <w:r>
              <w:rPr>
                <w:rFonts w:cs="Times New Roman"/>
                <w:b/>
              </w:rPr>
              <w:instrText xml:space="preserve"> STYLEREF 2 \s </w:instrText>
            </w:r>
            <w:r>
              <w:rPr>
                <w:rFonts w:cs="Times New Roman"/>
                <w:b/>
              </w:rPr>
              <w:fldChar w:fldCharType="separate"/>
            </w:r>
            <w:r>
              <w:rPr>
                <w:rFonts w:cs="Times New Roman"/>
                <w:b/>
              </w:rPr>
              <w:t>5.1</w:t>
            </w:r>
            <w:r>
              <w:rPr>
                <w:rFonts w:cs="Times New Roman"/>
                <w:b/>
              </w:rPr>
              <w:fldChar w:fldCharType="end"/>
            </w:r>
            <w:r>
              <w:rPr>
                <w:rFonts w:cs="Times New Roman"/>
                <w:b/>
              </w:rPr>
              <w:noBreakHyphen/>
            </w:r>
            <w:r>
              <w:rPr>
                <w:rFonts w:cs="Times New Roman"/>
                <w:b/>
              </w:rPr>
              <w:fldChar w:fldCharType="begin"/>
            </w:r>
            <w:r>
              <w:rPr>
                <w:rFonts w:cs="Times New Roman"/>
                <w:b/>
              </w:rPr>
              <w:instrText xml:space="preserve"> SEQ 图 \* ARABIC \s 2 </w:instrText>
            </w:r>
            <w:r>
              <w:rPr>
                <w:rFonts w:cs="Times New Roman"/>
                <w:b/>
              </w:rPr>
              <w:fldChar w:fldCharType="separate"/>
            </w:r>
            <w:r>
              <w:rPr>
                <w:rFonts w:cs="Times New Roman"/>
                <w:b/>
              </w:rPr>
              <w:t>1</w:t>
            </w:r>
            <w:r>
              <w:rPr>
                <w:rFonts w:cs="Times New Roman"/>
                <w:b/>
              </w:rPr>
              <w:fldChar w:fldCharType="end"/>
            </w:r>
            <w:r>
              <w:rPr>
                <w:rFonts w:cs="Times New Roman"/>
                <w:b/>
              </w:rPr>
              <w:t xml:space="preserve"> 施工期工艺流程图</w:t>
            </w:r>
          </w:p>
          <w:p>
            <w:pPr>
              <w:keepNext/>
              <w:adjustRightInd w:val="0"/>
              <w:snapToGrid w:val="0"/>
              <w:spacing w:line="360" w:lineRule="auto"/>
              <w:ind w:firstLine="480" w:firstLineChars="200"/>
              <w:rPr>
                <w:rFonts w:cs="Times New Roman"/>
              </w:rPr>
            </w:pPr>
            <w:r>
              <w:rPr>
                <w:rFonts w:cs="Times New Roman"/>
              </w:rPr>
              <w:t>（1）基础工程施工</w:t>
            </w:r>
          </w:p>
          <w:p>
            <w:pPr>
              <w:pStyle w:val="113"/>
              <w:spacing w:line="360" w:lineRule="auto"/>
              <w:ind w:firstLine="480"/>
              <w:rPr>
                <w:rFonts w:ascii="Times New Roman" w:hAnsi="Times New Roman" w:cs="Times New Roman"/>
              </w:rPr>
            </w:pPr>
            <w:r>
              <w:rPr>
                <w:rFonts w:ascii="Times New Roman" w:hAnsi="Times New Roman" w:cs="Times New Roman"/>
              </w:rPr>
              <w:t>基础工程施工包括土方（挖方、填方）、地基处理（岩土工程）等。施工过程中挖土机、冲击机、卷扬机、大型载重车等运行时将主要产生施工噪声、施工扬尘、生态破坏和水土流失。</w:t>
            </w:r>
          </w:p>
          <w:p>
            <w:pPr>
              <w:keepNext/>
              <w:adjustRightInd w:val="0"/>
              <w:snapToGrid w:val="0"/>
              <w:spacing w:line="360" w:lineRule="auto"/>
              <w:ind w:firstLine="480" w:firstLineChars="200"/>
              <w:rPr>
                <w:rFonts w:cs="Times New Roman"/>
              </w:rPr>
            </w:pPr>
            <w:r>
              <w:rPr>
                <w:rFonts w:cs="Times New Roman"/>
              </w:rPr>
              <w:t>（2）主体工程施工</w:t>
            </w:r>
          </w:p>
          <w:p>
            <w:pPr>
              <w:keepNext/>
              <w:adjustRightInd w:val="0"/>
              <w:snapToGrid w:val="0"/>
              <w:spacing w:line="360" w:lineRule="auto"/>
              <w:ind w:firstLine="480" w:firstLineChars="200"/>
              <w:rPr>
                <w:rFonts w:cs="Times New Roman"/>
              </w:rPr>
            </w:pPr>
            <w:r>
              <w:rPr>
                <w:rFonts w:cs="Times New Roman"/>
              </w:rPr>
              <w:t>主体工程施工包括搅拌大楼、办公楼、原料堆场等施工，施工过程挖土、建材搬运和汽车运输过程中会产生扬尘、混凝土输送泵、电焊机、钢筋切割机等施工机械的运行将产生噪声。</w:t>
            </w:r>
          </w:p>
          <w:p>
            <w:pPr>
              <w:pStyle w:val="113"/>
              <w:spacing w:line="360" w:lineRule="auto"/>
              <w:ind w:firstLine="480"/>
              <w:rPr>
                <w:rFonts w:ascii="Times New Roman" w:hAnsi="Times New Roman" w:cs="Times New Roman"/>
              </w:rPr>
            </w:pPr>
            <w:r>
              <w:rPr>
                <w:rFonts w:ascii="Times New Roman" w:hAnsi="Times New Roman" w:cs="Times New Roman"/>
              </w:rPr>
              <w:t>（3）设备安装</w:t>
            </w:r>
          </w:p>
          <w:p>
            <w:pPr>
              <w:pStyle w:val="113"/>
              <w:spacing w:line="360" w:lineRule="auto"/>
              <w:ind w:firstLine="480"/>
              <w:rPr>
                <w:rFonts w:ascii="Times New Roman" w:hAnsi="Times New Roman" w:cs="Times New Roman"/>
              </w:rPr>
            </w:pPr>
            <w:r>
              <w:rPr>
                <w:rFonts w:ascii="Times New Roman" w:hAnsi="Times New Roman" w:cs="Times New Roman"/>
              </w:rPr>
              <w:t>设备安装及试机过程中会产生噪声从上诉污染工序分析可知，施工期环境污染问题主要是：施工扬尘和废气、施工噪声、施工人员生活污水和工程废水、施工垃圾等</w:t>
            </w:r>
            <w:r>
              <w:rPr>
                <w:rFonts w:hint="eastAsia" w:ascii="Times New Roman" w:hAnsi="Times New Roman" w:cs="Times New Roman"/>
              </w:rPr>
              <w:t>。</w:t>
            </w:r>
          </w:p>
          <w:p>
            <w:pPr>
              <w:pStyle w:val="7"/>
              <w:rPr>
                <w:rFonts w:cs="Times New Roman" w:eastAsiaTheme="minorEastAsia"/>
              </w:rPr>
            </w:pPr>
            <w:r>
              <w:rPr>
                <w:rFonts w:cs="Times New Roman" w:eastAsiaTheme="minorEastAsia"/>
              </w:rPr>
              <w:t>营运期工艺流程图</w:t>
            </w:r>
          </w:p>
          <w:p>
            <w:pPr>
              <w:pStyle w:val="8"/>
            </w:pPr>
            <w:r>
              <w:rPr>
                <w:rFonts w:hint="eastAsia"/>
              </w:rPr>
              <w:t>环保混凝土生产工艺流程及产污节点图</w:t>
            </w:r>
          </w:p>
          <w:p>
            <w:pPr>
              <w:spacing w:line="360" w:lineRule="auto"/>
              <w:ind w:firstLine="480" w:firstLineChars="200"/>
              <w:rPr>
                <w:rFonts w:cs="Times New Roman"/>
              </w:rPr>
            </w:pPr>
            <w:r>
              <w:rPr>
                <w:rFonts w:cs="Times New Roman"/>
              </w:rPr>
              <w:drawing>
                <wp:inline distT="0" distB="0" distL="0" distR="0">
                  <wp:extent cx="4867275" cy="3443605"/>
                  <wp:effectExtent l="19050" t="0" r="9525" b="0"/>
                  <wp:docPr id="2" name="图片 16" descr="K:\李总\2020李总\南方材料有限公司建设项目\生产工艺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K:\李总\2020李总\南方材料有限公司建设项目\生产工艺流程图.jpg"/>
                          <pic:cNvPicPr>
                            <a:picLocks noChangeAspect="1" noChangeArrowheads="1"/>
                          </pic:cNvPicPr>
                        </pic:nvPicPr>
                        <pic:blipFill>
                          <a:blip r:embed="rId14" cstate="print"/>
                          <a:srcRect/>
                          <a:stretch>
                            <a:fillRect/>
                          </a:stretch>
                        </pic:blipFill>
                        <pic:spPr>
                          <a:xfrm>
                            <a:off x="0" y="0"/>
                            <a:ext cx="4873975" cy="3448944"/>
                          </a:xfrm>
                          <a:prstGeom prst="rect">
                            <a:avLst/>
                          </a:prstGeom>
                          <a:noFill/>
                          <a:ln w="9525">
                            <a:noFill/>
                            <a:miter lim="800000"/>
                            <a:headEnd/>
                            <a:tailEnd/>
                          </a:ln>
                        </pic:spPr>
                      </pic:pic>
                    </a:graphicData>
                  </a:graphic>
                </wp:inline>
              </w:drawing>
            </w:r>
          </w:p>
          <w:p>
            <w:pPr>
              <w:pStyle w:val="15"/>
              <w:keepNext/>
              <w:spacing w:line="240" w:lineRule="auto"/>
              <w:rPr>
                <w:rFonts w:cs="Times New Roman" w:eastAsiaTheme="minorEastAsia"/>
              </w:rPr>
            </w:pPr>
            <w:r>
              <w:rPr>
                <w:rFonts w:cs="Times New Roman" w:eastAsiaTheme="minorEastAsia"/>
                <w:sz w:val="22"/>
                <w:szCs w:val="21"/>
              </w:rPr>
              <w:t>图</w:t>
            </w:r>
            <w:r>
              <w:rPr>
                <w:rFonts w:cs="Times New Roman" w:eastAsiaTheme="minorEastAsia"/>
                <w:sz w:val="22"/>
                <w:szCs w:val="21"/>
              </w:rPr>
              <w:fldChar w:fldCharType="begin"/>
            </w:r>
            <w:r>
              <w:rPr>
                <w:rFonts w:cs="Times New Roman" w:eastAsiaTheme="minorEastAsia"/>
                <w:sz w:val="22"/>
                <w:szCs w:val="21"/>
              </w:rPr>
              <w:instrText xml:space="preserve"> STYLEREF 2 \s </w:instrText>
            </w:r>
            <w:r>
              <w:rPr>
                <w:rFonts w:cs="Times New Roman" w:eastAsiaTheme="minorEastAsia"/>
                <w:sz w:val="22"/>
                <w:szCs w:val="21"/>
              </w:rPr>
              <w:fldChar w:fldCharType="separate"/>
            </w:r>
            <w:r>
              <w:rPr>
                <w:rFonts w:cs="Times New Roman" w:eastAsiaTheme="minorEastAsia"/>
                <w:sz w:val="22"/>
                <w:szCs w:val="21"/>
              </w:rPr>
              <w:t>5.1</w:t>
            </w:r>
            <w:r>
              <w:rPr>
                <w:rFonts w:cs="Times New Roman" w:eastAsiaTheme="minorEastAsia"/>
                <w:sz w:val="22"/>
                <w:szCs w:val="21"/>
              </w:rPr>
              <w:fldChar w:fldCharType="end"/>
            </w:r>
            <w:r>
              <w:rPr>
                <w:rFonts w:cs="Times New Roman" w:eastAsiaTheme="minorEastAsia"/>
                <w:sz w:val="22"/>
                <w:szCs w:val="21"/>
              </w:rPr>
              <w:noBreakHyphen/>
            </w:r>
            <w:r>
              <w:rPr>
                <w:rFonts w:cs="Times New Roman" w:eastAsiaTheme="minorEastAsia"/>
                <w:sz w:val="22"/>
                <w:szCs w:val="21"/>
              </w:rPr>
              <w:fldChar w:fldCharType="begin"/>
            </w:r>
            <w:r>
              <w:rPr>
                <w:rFonts w:cs="Times New Roman" w:eastAsiaTheme="minorEastAsia"/>
                <w:sz w:val="22"/>
                <w:szCs w:val="21"/>
              </w:rPr>
              <w:instrText xml:space="preserve"> SEQ 图 \* ARABIC \s 2 </w:instrText>
            </w:r>
            <w:r>
              <w:rPr>
                <w:rFonts w:cs="Times New Roman" w:eastAsiaTheme="minorEastAsia"/>
                <w:sz w:val="22"/>
                <w:szCs w:val="21"/>
              </w:rPr>
              <w:fldChar w:fldCharType="separate"/>
            </w:r>
            <w:r>
              <w:rPr>
                <w:rFonts w:cs="Times New Roman" w:eastAsiaTheme="minorEastAsia"/>
                <w:sz w:val="22"/>
                <w:szCs w:val="21"/>
              </w:rPr>
              <w:t>2</w:t>
            </w:r>
            <w:r>
              <w:rPr>
                <w:rFonts w:cs="Times New Roman" w:eastAsiaTheme="minorEastAsia"/>
                <w:sz w:val="22"/>
                <w:szCs w:val="21"/>
              </w:rPr>
              <w:fldChar w:fldCharType="end"/>
            </w:r>
            <w:r>
              <w:rPr>
                <w:rFonts w:cs="Times New Roman" w:eastAsiaTheme="minorEastAsia"/>
              </w:rPr>
              <w:t xml:space="preserve"> </w:t>
            </w:r>
            <w:r>
              <w:rPr>
                <w:rFonts w:cs="Times New Roman" w:eastAsiaTheme="minorEastAsia"/>
                <w:sz w:val="21"/>
                <w:szCs w:val="21"/>
              </w:rPr>
              <w:t>营运期工艺流程及产物环节图</w:t>
            </w:r>
          </w:p>
          <w:p>
            <w:pPr>
              <w:spacing w:line="360" w:lineRule="auto"/>
              <w:ind w:firstLine="480" w:firstLineChars="200"/>
              <w:rPr>
                <w:rFonts w:cs="Times New Roman"/>
                <w:szCs w:val="24"/>
              </w:rPr>
            </w:pPr>
            <w:r>
              <w:rPr>
                <w:rFonts w:cs="Times New Roman"/>
                <w:szCs w:val="24"/>
              </w:rPr>
              <w:t>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rPr>
            </w:pPr>
            <w:r>
              <w:rPr>
                <w:rFonts w:cs="Times New Roman"/>
                <w:szCs w:val="24"/>
              </w:rPr>
              <w:t>本项目采用站式搅拌生产线</w:t>
            </w:r>
            <w:r>
              <w:rPr>
                <w:rFonts w:cs="Times New Roman"/>
                <w:spacing w:val="8"/>
              </w:rPr>
              <w:t>、后台自动上料生产工艺，项目生产原料之一的水泥由岳阳南方水泥有限公司水泥线生产的水泥供应，供应品种为P.O42.5。由水泥散罐车运输进储存库。粉煤灰同样由散罐运输，气力输送至粉煤灰库，外加剂使用水剂，搅拌站外购进行配料。设计描述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1）粉料输送：水泥罐车到达指定位置后，连接低压送灰系统，启动空压机风送粉料，配置1台低压空压机，同时满足2台车进行送料；粉料罐顶部设有高料位监测系统，并与低压风送管路阀门进行互锁，当粉料到高料位后，立即关闭风送管道和空压机，防止出现爆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生产时，粉料经螺旋机进入粉料称斗，并通过粉料合料斗进入搅拌机搅拌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（2）骨料输送：后台设计2格卸料斗，满足2台后翻车进行卸料。后翻车卸料时，启动仓顶皮带，将分料小车移至对应仓位，启动斜皮带，再启动水平皮带开始送料，直至骨料卸料完毕。该2格料斗单个设计容积25m</w:t>
            </w:r>
            <w:r>
              <w:rPr>
                <w:rFonts w:cs="Times New Roman"/>
                <w:szCs w:val="24"/>
                <w:vertAlign w:val="superscript"/>
              </w:rPr>
              <w:t>3</w:t>
            </w:r>
            <w:r>
              <w:rPr>
                <w:rFonts w:cs="Times New Roman"/>
                <w:szCs w:val="24"/>
              </w:rPr>
              <w:t>，满足一台后翻车装载40吨料快速卸料。一台车缷料的同时，第二台车可利用该时间将车辆倒车到位。第一台车卸料完成并输送完毕后，第二台车马上开始卸料，缩短卸料时间，提高物流效率。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3）骨料经水平皮带，斜皮带运送至料场，按产地、批次、质量分别卸入砂石料场，砂石料场分别储存2-4石子、1-3石子、0-5石子和砂子。砂子、碎石通过砂石料场底部的配料配料仓计量配料，经水平皮带，斜皮带运送至搅拌主楼顶部的骨料待料斗内，经骨料斗卸入搅拌机，进行搅拌。骨料待料仓内一直存有一斗骨料备用，缩短骨料称量及运输时间，提高生产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（4）水输送：清水经水泵及水管路送至楼内10m</w:t>
            </w:r>
            <w:r>
              <w:rPr>
                <w:rFonts w:cs="Times New Roman"/>
                <w:szCs w:val="24"/>
                <w:vertAlign w:val="superscript"/>
              </w:rPr>
              <w:t>3</w:t>
            </w:r>
            <w:r>
              <w:rPr>
                <w:rFonts w:cs="Times New Roman"/>
                <w:szCs w:val="24"/>
              </w:rPr>
              <w:t>水箱内，然后通过水粗称及精称阀门进行配料，然后经泄水加压泵进入搅拌机，进行搅拌。这样第一，水在水箱内，可大大缩短水称量时间；第二，可以提高水称量精度；第三，由于安装有泄水加压泵，因此也可大大提高泄水时间，从而提高生产效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（5）液体外加剂输送：液体外加剂经外加剂泵及外加剂管路送至楼内外加剂箱，然后通过阀门进行配料，配料完成后，卸入水称斗内，经泄水加压泵进入搅拌机。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（6）污水输送：污水经污水泵及污水管路直接送入污水称内，称量后直接卸入搅拌机。现场可根据不同混凝土调整污水配比。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（7）除尘系统：首先，每个粉料仓顶部均有一个24m</w:t>
            </w:r>
            <w:r>
              <w:rPr>
                <w:rFonts w:cs="Times New Roman"/>
                <w:szCs w:val="24"/>
                <w:vertAlign w:val="superscript"/>
              </w:rPr>
              <w:t>3</w:t>
            </w:r>
            <w:r>
              <w:rPr>
                <w:rFonts w:cs="Times New Roman"/>
                <w:szCs w:val="24"/>
              </w:rPr>
              <w:t>主动脉冲反吹滤袋式除尘器，保证在粉料输送过程中，能及时出去灰尘，又能卸去罐内压力，保证送料顺畅；其次，在楼顶回转斗处设有一个36m</w:t>
            </w:r>
            <w:r>
              <w:rPr>
                <w:rFonts w:cs="Times New Roman"/>
                <w:szCs w:val="24"/>
                <w:vertAlign w:val="superscript"/>
              </w:rPr>
              <w:t>3</w:t>
            </w:r>
            <w:r>
              <w:rPr>
                <w:rFonts w:cs="Times New Roman"/>
                <w:szCs w:val="24"/>
              </w:rPr>
              <w:t xml:space="preserve">主动脉冲反吹滤袋式除尘器，保证进料层，干净整洁。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szCs w:val="24"/>
              </w:rPr>
            </w:pPr>
            <w:r>
              <w:rPr>
                <w:rFonts w:cs="Times New Roman"/>
                <w:szCs w:val="24"/>
              </w:rPr>
              <w:t>（8）搅拌机卸料：搅拌完成的混凝土先卸入砼出料斗内，暂存一盘料，然后待搅拌车到位后，再打开砼出料斗卸料弧门，将混凝土卸入搅拌车内，这样一方面可以减少搅拌机半开门时间，其次可以减少搅拌车倒车时间对搅拌机开门时间的影响，从而提高生产效率。</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cs="Times New Roman"/>
                <w:spacing w:val="8"/>
              </w:rPr>
            </w:pPr>
            <w:r>
              <w:rPr>
                <w:rFonts w:cs="Times New Roman"/>
                <w:szCs w:val="24"/>
              </w:rPr>
              <w:t>（9）配料储存方式：共配置8个200T和2个100t原料罐，其中4个为水泥料罐，2个粉煤灰罐，2个矿粉罐，2个</w:t>
            </w:r>
            <w:r>
              <w:rPr>
                <w:rFonts w:hint="eastAsia" w:cs="Times New Roman"/>
                <w:szCs w:val="24"/>
              </w:rPr>
              <w:t>减水剂</w:t>
            </w:r>
            <w:r>
              <w:rPr>
                <w:rFonts w:cs="Times New Roman"/>
                <w:szCs w:val="24"/>
              </w:rPr>
              <w:t>罐</w:t>
            </w:r>
            <w:r>
              <w:rPr>
                <w:rFonts w:cs="Times New Roman"/>
                <w:spacing w:val="8"/>
              </w:rPr>
              <w:t>。</w:t>
            </w:r>
          </w:p>
          <w:p>
            <w:pPr>
              <w:pStyle w:val="8"/>
            </w:pPr>
            <w:r>
              <w:rPr>
                <w:rFonts w:hint="eastAsia"/>
              </w:rPr>
              <w:t>储运工程工艺流程及产污节点图</w:t>
            </w:r>
          </w:p>
          <w:p/>
          <w:p>
            <w:pPr>
              <w:jc w:val="center"/>
              <w:rPr>
                <w:color w:val="000000"/>
              </w:rPr>
            </w:pPr>
            <w:r>
              <w:rPr>
                <w:color w:val="000000"/>
              </w:rPr>
              <w:object>
                <v:shape id="_x0000_i1028" o:spt="75" type="#_x0000_t75" style="height:112.5pt;width:333pt;" o:ole="t" filled="f" o:preferrelative="t" stroked="f" coordsize="21600,21600">
                  <v:path/>
                  <v:fill on="f" focussize="0,0"/>
                  <v:stroke on="f" joinstyle="miter"/>
                  <v:imagedata r:id="rId16" o:title=""/>
                  <o:lock v:ext="edit" aspectratio="t"/>
                  <w10:wrap type="none"/>
                  <w10:anchorlock/>
                </v:shape>
                <o:OLEObject Type="Embed" ProgID="Visio.Drawing.11" ShapeID="_x0000_i1028" DrawAspect="Content" ObjectID="_1468075728" r:id="rId15">
                  <o:LockedField>false</o:LockedField>
                </o:OLEObject>
              </w:object>
            </w:r>
          </w:p>
          <w:p>
            <w:pPr>
              <w:pStyle w:val="15"/>
            </w:pPr>
            <w:r>
              <w:t>图</w:t>
            </w:r>
            <w:r>
              <w:fldChar w:fldCharType="begin"/>
            </w:r>
            <w:r>
              <w:instrText xml:space="preserve"> STYLEREF 2 \s </w:instrText>
            </w:r>
            <w:r>
              <w:fldChar w:fldCharType="separate"/>
            </w:r>
            <w:r>
              <w:t>5</w:t>
            </w:r>
            <w:r>
              <w:rPr>
                <w:rFonts w:hint="eastAsia"/>
              </w:rPr>
              <w:t>.</w:t>
            </w:r>
            <w:r>
              <w:t>1</w:t>
            </w:r>
            <w:r>
              <w:fldChar w:fldCharType="end"/>
            </w:r>
            <w:r>
              <w:rPr>
                <w:rFonts w:hint="eastAsia"/>
              </w:rPr>
              <w:t>-</w:t>
            </w:r>
            <w:r>
              <w:fldChar w:fldCharType="begin"/>
            </w:r>
            <w:r>
              <w:instrText xml:space="preserve"> SEQ 图 \* ARABIC \s 2 </w:instrText>
            </w:r>
            <w:r>
              <w:fldChar w:fldCharType="separate"/>
            </w:r>
            <w:r>
              <w:t>3</w:t>
            </w:r>
            <w:r>
              <w:fldChar w:fldCharType="end"/>
            </w:r>
            <w:r>
              <w:rPr>
                <w:rFonts w:hint="eastAsia"/>
              </w:rPr>
              <w:t xml:space="preserve">  储运工程工艺及产污节点流程图</w:t>
            </w:r>
          </w:p>
          <w:p>
            <w:pPr>
              <w:adjustRightInd w:val="0"/>
              <w:snapToGrid w:val="0"/>
              <w:spacing w:line="360" w:lineRule="auto"/>
              <w:ind w:firstLine="480" w:firstLineChars="200"/>
              <w:rPr>
                <w:color w:val="000000"/>
                <w:szCs w:val="24"/>
                <w:u w:val="single"/>
              </w:rPr>
            </w:pPr>
            <w:r>
              <w:rPr>
                <w:color w:val="000000"/>
                <w:szCs w:val="24"/>
                <w:u w:val="single"/>
              </w:rPr>
              <w:t>1</w:t>
            </w:r>
            <w:r>
              <w:rPr>
                <w:rFonts w:hAnsi="宋体"/>
                <w:color w:val="000000"/>
                <w:szCs w:val="24"/>
                <w:u w:val="single"/>
              </w:rPr>
              <w:t>）原料进厂</w:t>
            </w:r>
          </w:p>
          <w:p>
            <w:pPr>
              <w:adjustRightInd w:val="0"/>
              <w:snapToGrid w:val="0"/>
              <w:spacing w:line="360" w:lineRule="auto"/>
              <w:ind w:firstLine="480" w:firstLineChars="200"/>
              <w:rPr>
                <w:color w:val="000000"/>
                <w:szCs w:val="24"/>
                <w:u w:val="single"/>
              </w:rPr>
            </w:pPr>
            <w:r>
              <w:rPr>
                <w:rFonts w:hAnsi="宋体"/>
                <w:color w:val="000000"/>
                <w:szCs w:val="24"/>
                <w:u w:val="single"/>
              </w:rPr>
              <w:t>由汽车将碎石、砂子等原料卸入</w:t>
            </w:r>
            <w:r>
              <w:rPr>
                <w:color w:val="000000"/>
                <w:szCs w:val="24"/>
                <w:u w:val="single"/>
              </w:rPr>
              <w:t>10m</w:t>
            </w:r>
            <w:r>
              <w:rPr>
                <w:rFonts w:hAnsi="宋体"/>
                <w:color w:val="000000"/>
                <w:szCs w:val="24"/>
                <w:u w:val="single"/>
              </w:rPr>
              <w:t>高的半封闭料场；水泥从水泥厂由装水泥罐车运输至散装水泥仓；粉煤灰由散装水泥专用汽车运输进厂至粉煤灰中间仓。此部分会产生卸料粉尘及堆场扬尘。</w:t>
            </w:r>
          </w:p>
          <w:p>
            <w:pPr>
              <w:adjustRightInd w:val="0"/>
              <w:snapToGrid w:val="0"/>
              <w:spacing w:line="360" w:lineRule="auto"/>
              <w:ind w:firstLine="480" w:firstLineChars="200"/>
              <w:rPr>
                <w:color w:val="000000"/>
                <w:szCs w:val="24"/>
                <w:u w:val="single"/>
              </w:rPr>
            </w:pPr>
            <w:r>
              <w:rPr>
                <w:color w:val="000000"/>
                <w:szCs w:val="24"/>
                <w:u w:val="single"/>
              </w:rPr>
              <w:t>2</w:t>
            </w:r>
            <w:r>
              <w:rPr>
                <w:rFonts w:hAnsi="宋体"/>
                <w:color w:val="000000"/>
                <w:szCs w:val="24"/>
                <w:u w:val="single"/>
              </w:rPr>
              <w:t>）下料</w:t>
            </w:r>
          </w:p>
          <w:p>
            <w:pPr>
              <w:adjustRightInd w:val="0"/>
              <w:snapToGrid w:val="0"/>
              <w:spacing w:line="360" w:lineRule="auto"/>
              <w:ind w:firstLine="480" w:firstLineChars="200"/>
              <w:rPr>
                <w:rFonts w:hAnsi="宋体"/>
                <w:color w:val="000000"/>
                <w:szCs w:val="24"/>
                <w:u w:val="single"/>
              </w:rPr>
            </w:pPr>
            <w:r>
              <w:rPr>
                <w:rFonts w:hAnsi="宋体"/>
                <w:color w:val="000000"/>
                <w:szCs w:val="24"/>
                <w:u w:val="single"/>
              </w:rPr>
              <w:t>将碎石、砂子等原料在堆场内通过机器推入下料斗内，再由密闭式输送带输送到计量器上，计量器根据配比计量后，输送到搅拌机内进行搅拌，搅拌完成后外售。</w:t>
            </w:r>
          </w:p>
          <w:p>
            <w:pPr>
              <w:pStyle w:val="7"/>
              <w:rPr>
                <w:rFonts w:cs="Times New Roman" w:eastAsiaTheme="minorEastAsia"/>
              </w:rPr>
            </w:pPr>
            <w:r>
              <w:rPr>
                <w:rFonts w:cs="Times New Roman" w:eastAsiaTheme="minorEastAsia"/>
              </w:rPr>
              <w:t>产污环节</w:t>
            </w:r>
          </w:p>
          <w:p>
            <w:pPr>
              <w:spacing w:line="360" w:lineRule="auto"/>
              <w:ind w:firstLine="480" w:firstLineChars="200"/>
              <w:rPr>
                <w:rFonts w:cs="Times New Roman"/>
              </w:rPr>
            </w:pPr>
            <w:r>
              <w:rPr>
                <w:rFonts w:cs="Times New Roman"/>
              </w:rPr>
              <w:t>项目产污环节见</w:t>
            </w:r>
            <w:r>
              <w:fldChar w:fldCharType="begin"/>
            </w:r>
            <w:r>
              <w:instrText xml:space="preserve"> REF _Ref21502668 \h  \* MERGEFORMAT </w:instrText>
            </w:r>
            <w:r>
              <w:fldChar w:fldCharType="separate"/>
            </w:r>
            <w:r>
              <w:rPr>
                <w:rFonts w:cs="Times New Roman"/>
              </w:rPr>
              <w:t>表5.1</w:t>
            </w:r>
            <w:r>
              <w:rPr>
                <w:rFonts w:cs="Times New Roman"/>
              </w:rPr>
              <w:noBreakHyphen/>
            </w:r>
            <w:r>
              <w:rPr>
                <w:rFonts w:cs="Times New Roman"/>
              </w:rPr>
              <w:t>1</w:t>
            </w:r>
            <w:r>
              <w:rPr>
                <w:rFonts w:cs="Times New Roman"/>
              </w:rPr>
              <w:fldChar w:fldCharType="end"/>
            </w:r>
            <w:r>
              <w:rPr>
                <w:rFonts w:cs="Times New Roman"/>
              </w:rPr>
              <w:t>。</w:t>
            </w:r>
          </w:p>
          <w:p>
            <w:pPr>
              <w:pStyle w:val="15"/>
              <w:spacing w:line="240" w:lineRule="auto"/>
              <w:rPr>
                <w:rFonts w:cs="Times New Roman" w:eastAsiaTheme="minorEastAsia"/>
                <w:sz w:val="21"/>
                <w:szCs w:val="21"/>
              </w:rPr>
            </w:pPr>
            <w:bookmarkStart w:id="15" w:name="_Ref21502668"/>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5.1</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1</w:t>
            </w:r>
            <w:r>
              <w:rPr>
                <w:rFonts w:cs="Times New Roman" w:eastAsiaTheme="minorEastAsia"/>
                <w:sz w:val="21"/>
                <w:szCs w:val="21"/>
              </w:rPr>
              <w:fldChar w:fldCharType="end"/>
            </w:r>
            <w:bookmarkEnd w:id="15"/>
            <w:r>
              <w:rPr>
                <w:rFonts w:cs="Times New Roman" w:eastAsiaTheme="minorEastAsia"/>
                <w:sz w:val="21"/>
                <w:szCs w:val="21"/>
              </w:rPr>
              <w:t xml:space="preserve">  产污环节一览表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3190"/>
              <w:gridCol w:w="4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项目</w:t>
                  </w: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产物环节</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restar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废气</w:t>
                  </w: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原料筒仓粉尘</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搅拌工序产生的搅拌粉尘</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原料装卸产生的扬尘</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堆场扬尘</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运输扬尘及汽车尾气</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CO、SO</w:t>
                  </w:r>
                  <w:r>
                    <w:rPr>
                      <w:rFonts w:cs="Times New Roman" w:eastAsiaTheme="minorEastAsia"/>
                      <w:b w:val="0"/>
                      <w:sz w:val="21"/>
                      <w:szCs w:val="21"/>
                      <w:vertAlign w:val="subscript"/>
                    </w:rPr>
                    <w:t>2</w:t>
                  </w:r>
                  <w:r>
                    <w:rPr>
                      <w:rFonts w:cs="Times New Roman" w:eastAsiaTheme="minorEastAsia"/>
                      <w:b w:val="0"/>
                      <w:sz w:val="21"/>
                      <w:szCs w:val="21"/>
                    </w:rPr>
                    <w:t>、NO</w:t>
                  </w:r>
                  <w:r>
                    <w:rPr>
                      <w:rFonts w:cs="Times New Roman" w:eastAsiaTheme="minorEastAsia"/>
                      <w:b w:val="0"/>
                      <w:sz w:val="21"/>
                      <w:szCs w:val="21"/>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食堂油烟</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45" w:type="pct"/>
                  <w:vMerge w:val="restar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废水</w:t>
                  </w: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搅拌机清洗废水</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kern w:val="0"/>
                      <w:sz w:val="21"/>
                      <w:szCs w:val="21"/>
                    </w:rPr>
                    <w:t>混凝土运输罐车罐体清洗废水</w:t>
                  </w:r>
                </w:p>
              </w:tc>
              <w:tc>
                <w:tcPr>
                  <w:tcW w:w="2434" w:type="pct"/>
                  <w:vAlign w:val="center"/>
                </w:tcPr>
                <w:p>
                  <w:pPr>
                    <w:pStyle w:val="15"/>
                    <w:adjustRightInd w:val="0"/>
                    <w:snapToGrid w:val="0"/>
                    <w:spacing w:line="240" w:lineRule="auto"/>
                    <w:rPr>
                      <w:rFonts w:cs="Times New Roman" w:eastAsiaTheme="minorEastAsia"/>
                      <w:b w:val="0"/>
                      <w:kern w:val="0"/>
                      <w:sz w:val="21"/>
                      <w:szCs w:val="21"/>
                    </w:rPr>
                  </w:pPr>
                  <w:r>
                    <w:rPr>
                      <w:rFonts w:cs="Times New Roman" w:eastAsiaTheme="minorEastAsia"/>
                      <w:b w:val="0"/>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adjustRightInd w:val="0"/>
                    <w:snapToGrid w:val="0"/>
                    <w:rPr>
                      <w:rFonts w:cs="Times New Roman"/>
                      <w:sz w:val="21"/>
                    </w:rPr>
                  </w:pPr>
                  <w:r>
                    <w:rPr>
                      <w:rFonts w:cs="Times New Roman"/>
                      <w:sz w:val="21"/>
                    </w:rPr>
                    <w:t>混凝土运输车辆外部清洗废水</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kern w:val="0"/>
                      <w:sz w:val="21"/>
                      <w:szCs w:val="21"/>
                    </w:rPr>
                  </w:pPr>
                  <w:r>
                    <w:rPr>
                      <w:rFonts w:cs="Times New Roman" w:eastAsiaTheme="minorEastAsia"/>
                      <w:b w:val="0"/>
                      <w:sz w:val="21"/>
                      <w:szCs w:val="21"/>
                    </w:rPr>
                    <w:t>生产区及道路冲洗废水</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初期雨水</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生活废水</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CODcr、BOD</w:t>
                  </w:r>
                  <w:r>
                    <w:rPr>
                      <w:rFonts w:cs="Times New Roman" w:eastAsiaTheme="minorEastAsia"/>
                      <w:b w:val="0"/>
                      <w:sz w:val="21"/>
                      <w:szCs w:val="21"/>
                      <w:vertAlign w:val="subscript"/>
                    </w:rPr>
                    <w:t>5</w:t>
                  </w:r>
                  <w:r>
                    <w:rPr>
                      <w:rFonts w:cs="Times New Roman" w:eastAsiaTheme="minorEastAsia"/>
                      <w:b w:val="0"/>
                      <w:sz w:val="21"/>
                      <w:szCs w:val="21"/>
                    </w:rPr>
                    <w:t>、SS、NH</w:t>
                  </w:r>
                  <w:r>
                    <w:rPr>
                      <w:rFonts w:cs="Times New Roman" w:eastAsiaTheme="minorEastAsia"/>
                      <w:b w:val="0"/>
                      <w:sz w:val="21"/>
                      <w:szCs w:val="21"/>
                      <w:vertAlign w:val="subscript"/>
                    </w:rPr>
                    <w:t>3</w:t>
                  </w:r>
                  <w:r>
                    <w:rPr>
                      <w:rFonts w:cs="Times New Roman" w:eastAsiaTheme="minorEastAsia"/>
                      <w:b w:val="0"/>
                      <w:sz w:val="21"/>
                      <w:szCs w:val="21"/>
                    </w:rPr>
                    <w:t>-N、动植物油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restar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固体废物</w:t>
                  </w: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除尘器收集的粉尘</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除尘器收集的粉尘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砂石分离机分离后的砂石</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砂石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沉淀池沉淀泥沙</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沉淀池泥沙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实验产生的废料</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实验废料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rPr>
                  </w:pPr>
                  <w:r>
                    <w:rPr>
                      <w:rFonts w:cs="Times New Roman" w:eastAsiaTheme="minorEastAsia"/>
                      <w:b w:val="0"/>
                      <w:sz w:val="21"/>
                    </w:rPr>
                    <w:t>机械维修及维护过程中会产生废润滑油、废油桶、含油抹布及手套</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废润滑油、废油桶、含油抹布及手套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Merge w:val="continue"/>
                  <w:vAlign w:val="center"/>
                </w:tcPr>
                <w:p>
                  <w:pPr>
                    <w:pStyle w:val="15"/>
                    <w:adjustRightInd w:val="0"/>
                    <w:snapToGrid w:val="0"/>
                    <w:spacing w:line="240" w:lineRule="auto"/>
                    <w:rPr>
                      <w:rFonts w:cs="Times New Roman" w:eastAsiaTheme="minorEastAsia"/>
                      <w:b w:val="0"/>
                      <w:sz w:val="21"/>
                      <w:szCs w:val="21"/>
                    </w:rPr>
                  </w:pP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员工生活产生的生活垃圾</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噪声</w:t>
                  </w:r>
                </w:p>
              </w:tc>
              <w:tc>
                <w:tcPr>
                  <w:tcW w:w="1921"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生产加工</w:t>
                  </w:r>
                </w:p>
              </w:tc>
              <w:tc>
                <w:tcPr>
                  <w:tcW w:w="2434"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各机械设备在生产运行过程中产生的噪声</w:t>
                  </w:r>
                </w:p>
              </w:tc>
            </w:tr>
          </w:tbl>
          <w:p>
            <w:pPr>
              <w:pStyle w:val="7"/>
            </w:pPr>
            <w:r>
              <w:rPr>
                <w:rFonts w:hint="eastAsia"/>
              </w:rPr>
              <w:t>物料平衡</w:t>
            </w:r>
          </w:p>
          <w:p>
            <w:pPr>
              <w:pStyle w:val="2"/>
              <w:spacing w:after="0" w:line="360" w:lineRule="auto"/>
              <w:ind w:firstLine="480" w:firstLineChars="200"/>
            </w:pPr>
            <w:r>
              <w:rPr>
                <w:rFonts w:hint="eastAsia"/>
              </w:rPr>
              <w:t>本项目物料平衡见下表所示。</w:t>
            </w:r>
          </w:p>
          <w:p>
            <w:pPr>
              <w:pStyle w:val="15"/>
              <w:spacing w:line="240" w:lineRule="auto"/>
            </w:pPr>
            <w:r>
              <w:t>表</w:t>
            </w:r>
            <w:r>
              <w:fldChar w:fldCharType="begin"/>
            </w:r>
            <w:r>
              <w:instrText xml:space="preserve"> STYLEREF 2 \s </w:instrText>
            </w:r>
            <w:r>
              <w:fldChar w:fldCharType="separate"/>
            </w:r>
            <w:r>
              <w:t>5</w:t>
            </w:r>
            <w:r>
              <w:rPr>
                <w:rFonts w:hint="eastAsia"/>
              </w:rPr>
              <w:t>.</w:t>
            </w:r>
            <w:r>
              <w:t>1</w:t>
            </w:r>
            <w:r>
              <w:fldChar w:fldCharType="end"/>
            </w:r>
            <w:r>
              <w:rPr>
                <w:rFonts w:hint="eastAsia"/>
              </w:rPr>
              <w:t>-</w:t>
            </w:r>
            <w:r>
              <w:fldChar w:fldCharType="begin"/>
            </w:r>
            <w:r>
              <w:instrText xml:space="preserve"> SEQ 表 \* ARABIC \s 2 </w:instrText>
            </w:r>
            <w:r>
              <w:fldChar w:fldCharType="separate"/>
            </w:r>
            <w:r>
              <w:t>2</w:t>
            </w:r>
            <w:r>
              <w:fldChar w:fldCharType="end"/>
            </w:r>
            <w:r>
              <w:rPr>
                <w:rFonts w:hint="eastAsia"/>
              </w:rPr>
              <w:t xml:space="preserve">  </w:t>
            </w:r>
            <w:r>
              <w:rPr>
                <w:rFonts w:hint="eastAsia" w:asciiTheme="minorEastAsia" w:hAnsiTheme="minorEastAsia" w:eastAsiaTheme="minorEastAsia" w:cstheme="minorEastAsia"/>
                <w:kern w:val="0"/>
                <w:szCs w:val="21"/>
              </w:rPr>
              <w:t>物料平衡一览表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1151"/>
              <w:gridCol w:w="1916"/>
              <w:gridCol w:w="1652"/>
              <w:gridCol w:w="2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Align w:val="center"/>
                </w:tcPr>
                <w:p>
                  <w:pPr>
                    <w:jc w:val="center"/>
                    <w:rPr>
                      <w:rFonts w:cs="Times New Roman"/>
                      <w:color w:val="0000FF"/>
                      <w:sz w:val="21"/>
                      <w:u w:val="single"/>
                    </w:rPr>
                  </w:pPr>
                  <w:r>
                    <w:rPr>
                      <w:rFonts w:cs="Times New Roman"/>
                      <w:color w:val="0000FF"/>
                      <w:sz w:val="21"/>
                      <w:u w:val="single"/>
                    </w:rPr>
                    <w:t>项目</w:t>
                  </w:r>
                </w:p>
              </w:tc>
              <w:tc>
                <w:tcPr>
                  <w:tcW w:w="693" w:type="pct"/>
                  <w:vAlign w:val="center"/>
                </w:tcPr>
                <w:p>
                  <w:pPr>
                    <w:jc w:val="center"/>
                    <w:rPr>
                      <w:rFonts w:cs="Times New Roman"/>
                      <w:color w:val="0000FF"/>
                      <w:sz w:val="21"/>
                      <w:u w:val="single"/>
                    </w:rPr>
                  </w:pPr>
                  <w:r>
                    <w:rPr>
                      <w:rFonts w:cs="Times New Roman"/>
                      <w:color w:val="0000FF"/>
                      <w:sz w:val="21"/>
                      <w:u w:val="single"/>
                    </w:rPr>
                    <w:t>分类</w:t>
                  </w:r>
                </w:p>
              </w:tc>
              <w:tc>
                <w:tcPr>
                  <w:tcW w:w="1153" w:type="pct"/>
                  <w:vAlign w:val="center"/>
                </w:tcPr>
                <w:p>
                  <w:pPr>
                    <w:jc w:val="center"/>
                    <w:rPr>
                      <w:rFonts w:cs="Times New Roman"/>
                      <w:color w:val="0000FF"/>
                      <w:sz w:val="21"/>
                      <w:u w:val="single"/>
                    </w:rPr>
                  </w:pPr>
                  <w:r>
                    <w:rPr>
                      <w:rFonts w:cs="Times New Roman"/>
                      <w:color w:val="0000FF"/>
                      <w:sz w:val="21"/>
                      <w:u w:val="single"/>
                    </w:rPr>
                    <w:t>名称</w:t>
                  </w:r>
                </w:p>
              </w:tc>
              <w:tc>
                <w:tcPr>
                  <w:tcW w:w="995" w:type="pct"/>
                  <w:vAlign w:val="center"/>
                </w:tcPr>
                <w:p>
                  <w:pPr>
                    <w:jc w:val="center"/>
                    <w:rPr>
                      <w:rFonts w:cs="Times New Roman"/>
                      <w:color w:val="0000FF"/>
                      <w:sz w:val="21"/>
                      <w:u w:val="single"/>
                    </w:rPr>
                  </w:pPr>
                  <w:r>
                    <w:rPr>
                      <w:rFonts w:cs="Times New Roman"/>
                      <w:color w:val="0000FF"/>
                      <w:sz w:val="21"/>
                      <w:u w:val="single"/>
                    </w:rPr>
                    <w:t>实际重量(t/a)</w:t>
                  </w:r>
                </w:p>
              </w:tc>
              <w:tc>
                <w:tcPr>
                  <w:tcW w:w="1576" w:type="pct"/>
                  <w:vAlign w:val="center"/>
                </w:tcPr>
                <w:p>
                  <w:pPr>
                    <w:jc w:val="center"/>
                    <w:rPr>
                      <w:rFonts w:cs="Times New Roman"/>
                      <w:color w:val="0000FF"/>
                      <w:sz w:val="21"/>
                      <w:u w:val="single"/>
                    </w:rPr>
                  </w:pPr>
                  <w:r>
                    <w:rPr>
                      <w:rFonts w:cs="Times New Roman"/>
                      <w:color w:val="0000FF"/>
                      <w:sz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restart"/>
                  <w:vAlign w:val="center"/>
                </w:tcPr>
                <w:p>
                  <w:pPr>
                    <w:jc w:val="center"/>
                    <w:rPr>
                      <w:rFonts w:cs="Times New Roman"/>
                      <w:color w:val="0000FF"/>
                      <w:sz w:val="21"/>
                      <w:u w:val="single"/>
                    </w:rPr>
                  </w:pPr>
                  <w:r>
                    <w:rPr>
                      <w:rFonts w:cs="Times New Roman"/>
                      <w:color w:val="0000FF"/>
                      <w:sz w:val="21"/>
                      <w:u w:val="single"/>
                    </w:rPr>
                    <w:t>入方</w:t>
                  </w:r>
                </w:p>
              </w:tc>
              <w:tc>
                <w:tcPr>
                  <w:tcW w:w="693" w:type="pct"/>
                  <w:vMerge w:val="restart"/>
                  <w:vAlign w:val="center"/>
                </w:tcPr>
                <w:p>
                  <w:pPr>
                    <w:jc w:val="center"/>
                    <w:rPr>
                      <w:rFonts w:cs="Times New Roman"/>
                      <w:color w:val="0000FF"/>
                      <w:sz w:val="21"/>
                      <w:u w:val="single"/>
                    </w:rPr>
                  </w:pPr>
                  <w:r>
                    <w:rPr>
                      <w:rFonts w:cs="Times New Roman"/>
                      <w:color w:val="0000FF"/>
                      <w:sz w:val="21"/>
                      <w:u w:val="single"/>
                    </w:rPr>
                    <w:t>主要原料</w:t>
                  </w:r>
                </w:p>
              </w:tc>
              <w:tc>
                <w:tcPr>
                  <w:tcW w:w="1153" w:type="pct"/>
                  <w:vAlign w:val="center"/>
                </w:tcPr>
                <w:p>
                  <w:pPr>
                    <w:jc w:val="center"/>
                    <w:rPr>
                      <w:rFonts w:cs="Times New Roman"/>
                      <w:color w:val="0000FF"/>
                      <w:sz w:val="21"/>
                      <w:u w:val="single"/>
                    </w:rPr>
                  </w:pPr>
                  <w:r>
                    <w:rPr>
                      <w:rFonts w:cs="Times New Roman"/>
                      <w:color w:val="0000FF"/>
                      <w:sz w:val="21"/>
                      <w:u w:val="single"/>
                    </w:rPr>
                    <w:t>水泥</w:t>
                  </w:r>
                </w:p>
              </w:tc>
              <w:tc>
                <w:tcPr>
                  <w:tcW w:w="995" w:type="pct"/>
                  <w:vAlign w:val="center"/>
                </w:tcPr>
                <w:p>
                  <w:pPr>
                    <w:widowControl/>
                    <w:jc w:val="center"/>
                    <w:textAlignment w:val="center"/>
                    <w:rPr>
                      <w:rFonts w:hint="default" w:cs="Times New Roman" w:eastAsiaTheme="minorEastAsia"/>
                      <w:color w:val="0000FF"/>
                      <w:sz w:val="21"/>
                      <w:u w:val="single"/>
                      <w:lang w:val="en-US" w:eastAsia="zh-CN"/>
                    </w:rPr>
                  </w:pPr>
                  <w:r>
                    <w:rPr>
                      <w:rFonts w:hint="eastAsia" w:cs="Times New Roman"/>
                      <w:color w:val="0000FF"/>
                      <w:sz w:val="21"/>
                      <w:u w:val="single"/>
                      <w:lang w:val="en-US" w:eastAsia="zh-CN"/>
                    </w:rPr>
                    <w:t>225000</w:t>
                  </w:r>
                </w:p>
              </w:tc>
              <w:tc>
                <w:tcPr>
                  <w:tcW w:w="1576" w:type="pct"/>
                  <w:vAlign w:val="center"/>
                </w:tcPr>
                <w:p>
                  <w:pPr>
                    <w:jc w:val="center"/>
                    <w:rPr>
                      <w:rFonts w:cs="Times New Roman"/>
                      <w:color w:val="0000FF"/>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693" w:type="pct"/>
                  <w:vMerge w:val="continue"/>
                  <w:vAlign w:val="center"/>
                </w:tcPr>
                <w:p>
                  <w:pPr>
                    <w:jc w:val="center"/>
                    <w:rPr>
                      <w:rFonts w:cs="Times New Roman"/>
                      <w:color w:val="0000FF"/>
                      <w:sz w:val="21"/>
                      <w:u w:val="single"/>
                    </w:rPr>
                  </w:pPr>
                </w:p>
              </w:tc>
              <w:tc>
                <w:tcPr>
                  <w:tcW w:w="1153" w:type="pct"/>
                  <w:vAlign w:val="center"/>
                </w:tcPr>
                <w:p>
                  <w:pPr>
                    <w:jc w:val="center"/>
                    <w:rPr>
                      <w:rFonts w:cs="Times New Roman"/>
                      <w:color w:val="0000FF"/>
                      <w:sz w:val="21"/>
                      <w:u w:val="single"/>
                    </w:rPr>
                  </w:pPr>
                  <w:r>
                    <w:rPr>
                      <w:rFonts w:hint="eastAsia" w:cs="Times New Roman"/>
                      <w:color w:val="0000FF"/>
                      <w:sz w:val="21"/>
                      <w:u w:val="single"/>
                    </w:rPr>
                    <w:t>砂子</w:t>
                  </w:r>
                </w:p>
              </w:tc>
              <w:tc>
                <w:tcPr>
                  <w:tcW w:w="995" w:type="pct"/>
                  <w:vAlign w:val="center"/>
                </w:tcPr>
                <w:p>
                  <w:pPr>
                    <w:widowControl/>
                    <w:jc w:val="center"/>
                    <w:textAlignment w:val="center"/>
                    <w:rPr>
                      <w:rFonts w:hint="default" w:cs="Times New Roman" w:eastAsiaTheme="minorEastAsia"/>
                      <w:color w:val="0000FF"/>
                      <w:sz w:val="21"/>
                      <w:u w:val="single"/>
                      <w:lang w:val="en-US" w:eastAsia="zh-CN"/>
                    </w:rPr>
                  </w:pPr>
                  <w:r>
                    <w:rPr>
                      <w:rFonts w:hint="eastAsia" w:cs="Times New Roman"/>
                      <w:color w:val="0000FF"/>
                      <w:sz w:val="21"/>
                      <w:u w:val="single"/>
                      <w:lang w:val="en-US" w:eastAsia="zh-CN"/>
                    </w:rPr>
                    <w:t>900000</w:t>
                  </w:r>
                </w:p>
              </w:tc>
              <w:tc>
                <w:tcPr>
                  <w:tcW w:w="1576" w:type="pct"/>
                  <w:vAlign w:val="center"/>
                </w:tcPr>
                <w:p>
                  <w:pPr>
                    <w:jc w:val="center"/>
                    <w:rPr>
                      <w:rFonts w:cs="Times New Roman"/>
                      <w:color w:val="0000FF"/>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693" w:type="pct"/>
                  <w:vMerge w:val="continue"/>
                  <w:vAlign w:val="center"/>
                </w:tcPr>
                <w:p>
                  <w:pPr>
                    <w:jc w:val="center"/>
                    <w:rPr>
                      <w:rFonts w:cs="Times New Roman"/>
                      <w:color w:val="0000FF"/>
                      <w:sz w:val="21"/>
                      <w:u w:val="single"/>
                    </w:rPr>
                  </w:pPr>
                </w:p>
              </w:tc>
              <w:tc>
                <w:tcPr>
                  <w:tcW w:w="1153" w:type="pct"/>
                  <w:vAlign w:val="center"/>
                </w:tcPr>
                <w:p>
                  <w:pPr>
                    <w:jc w:val="center"/>
                    <w:rPr>
                      <w:rFonts w:cs="Times New Roman"/>
                      <w:bCs/>
                      <w:color w:val="0000FF"/>
                      <w:sz w:val="21"/>
                      <w:u w:val="single"/>
                    </w:rPr>
                  </w:pPr>
                  <w:r>
                    <w:rPr>
                      <w:rFonts w:hint="eastAsia" w:cs="Times New Roman"/>
                      <w:bCs/>
                      <w:color w:val="0000FF"/>
                      <w:sz w:val="21"/>
                      <w:u w:val="single"/>
                    </w:rPr>
                    <w:t>碎石</w:t>
                  </w:r>
                </w:p>
              </w:tc>
              <w:tc>
                <w:tcPr>
                  <w:tcW w:w="995" w:type="pct"/>
                  <w:vAlign w:val="center"/>
                </w:tcPr>
                <w:p>
                  <w:pPr>
                    <w:widowControl/>
                    <w:jc w:val="center"/>
                    <w:textAlignment w:val="center"/>
                    <w:rPr>
                      <w:rFonts w:hint="default" w:cs="Times New Roman" w:eastAsiaTheme="minorEastAsia"/>
                      <w:bCs/>
                      <w:color w:val="0000FF"/>
                      <w:sz w:val="21"/>
                      <w:u w:val="single"/>
                      <w:lang w:val="en-US" w:eastAsia="zh-CN"/>
                    </w:rPr>
                  </w:pPr>
                  <w:r>
                    <w:rPr>
                      <w:rFonts w:hint="eastAsia" w:cs="Times New Roman"/>
                      <w:bCs/>
                      <w:color w:val="0000FF"/>
                      <w:sz w:val="21"/>
                      <w:u w:val="single"/>
                      <w:lang w:val="en-US" w:eastAsia="zh-CN"/>
                    </w:rPr>
                    <w:t>810000</w:t>
                  </w:r>
                </w:p>
              </w:tc>
              <w:tc>
                <w:tcPr>
                  <w:tcW w:w="1576" w:type="pct"/>
                  <w:vAlign w:val="center"/>
                </w:tcPr>
                <w:p>
                  <w:pPr>
                    <w:jc w:val="center"/>
                    <w:rPr>
                      <w:rFonts w:cs="Times New Roman"/>
                      <w:color w:val="0000FF"/>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693" w:type="pct"/>
                  <w:vMerge w:val="continue"/>
                  <w:vAlign w:val="center"/>
                </w:tcPr>
                <w:p>
                  <w:pPr>
                    <w:jc w:val="center"/>
                    <w:rPr>
                      <w:rFonts w:cs="Times New Roman"/>
                      <w:color w:val="0000FF"/>
                      <w:sz w:val="21"/>
                      <w:u w:val="single"/>
                    </w:rPr>
                  </w:pPr>
                </w:p>
              </w:tc>
              <w:tc>
                <w:tcPr>
                  <w:tcW w:w="1153" w:type="pct"/>
                  <w:vAlign w:val="center"/>
                </w:tcPr>
                <w:p>
                  <w:pPr>
                    <w:jc w:val="center"/>
                    <w:rPr>
                      <w:rFonts w:cs="Times New Roman"/>
                      <w:bCs/>
                      <w:color w:val="0000FF"/>
                      <w:sz w:val="21"/>
                      <w:u w:val="single"/>
                    </w:rPr>
                  </w:pPr>
                  <w:r>
                    <w:rPr>
                      <w:rFonts w:hint="eastAsia" w:cs="Times New Roman"/>
                      <w:bCs/>
                      <w:color w:val="0000FF"/>
                      <w:sz w:val="21"/>
                      <w:u w:val="single"/>
                    </w:rPr>
                    <w:t>粉煤灰</w:t>
                  </w:r>
                </w:p>
              </w:tc>
              <w:tc>
                <w:tcPr>
                  <w:tcW w:w="995" w:type="pct"/>
                  <w:vAlign w:val="center"/>
                </w:tcPr>
                <w:p>
                  <w:pPr>
                    <w:widowControl/>
                    <w:jc w:val="center"/>
                    <w:textAlignment w:val="center"/>
                    <w:rPr>
                      <w:rFonts w:cs="Times New Roman"/>
                      <w:bCs/>
                      <w:color w:val="0000FF"/>
                      <w:sz w:val="21"/>
                      <w:u w:val="single"/>
                    </w:rPr>
                  </w:pPr>
                  <w:r>
                    <w:rPr>
                      <w:rFonts w:hint="eastAsia" w:cs="Times New Roman"/>
                      <w:bCs/>
                      <w:color w:val="0000FF"/>
                      <w:sz w:val="21"/>
                      <w:u w:val="single"/>
                      <w:lang w:val="en-US" w:eastAsia="zh-CN"/>
                    </w:rPr>
                    <w:t>45000</w:t>
                  </w:r>
                </w:p>
              </w:tc>
              <w:tc>
                <w:tcPr>
                  <w:tcW w:w="1576" w:type="pct"/>
                  <w:vAlign w:val="center"/>
                </w:tcPr>
                <w:p>
                  <w:pPr>
                    <w:jc w:val="center"/>
                    <w:rPr>
                      <w:rFonts w:cs="Times New Roman"/>
                      <w:color w:val="0000FF"/>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693" w:type="pct"/>
                  <w:vMerge w:val="continue"/>
                  <w:vAlign w:val="center"/>
                </w:tcPr>
                <w:p>
                  <w:pPr>
                    <w:jc w:val="center"/>
                    <w:rPr>
                      <w:rFonts w:cs="Times New Roman"/>
                      <w:color w:val="0000FF"/>
                      <w:sz w:val="21"/>
                      <w:u w:val="single"/>
                    </w:rPr>
                  </w:pPr>
                </w:p>
              </w:tc>
              <w:tc>
                <w:tcPr>
                  <w:tcW w:w="1153" w:type="pct"/>
                  <w:vAlign w:val="center"/>
                </w:tcPr>
                <w:p>
                  <w:pPr>
                    <w:jc w:val="center"/>
                    <w:rPr>
                      <w:rFonts w:cs="Times New Roman"/>
                      <w:bCs/>
                      <w:color w:val="0000FF"/>
                      <w:sz w:val="21"/>
                      <w:u w:val="single"/>
                    </w:rPr>
                  </w:pPr>
                  <w:r>
                    <w:rPr>
                      <w:rFonts w:hint="eastAsia" w:cs="Times New Roman"/>
                      <w:bCs/>
                      <w:color w:val="0000FF"/>
                      <w:sz w:val="21"/>
                      <w:u w:val="single"/>
                    </w:rPr>
                    <w:t>矿粉</w:t>
                  </w:r>
                </w:p>
              </w:tc>
              <w:tc>
                <w:tcPr>
                  <w:tcW w:w="995" w:type="pct"/>
                  <w:vAlign w:val="center"/>
                </w:tcPr>
                <w:p>
                  <w:pPr>
                    <w:widowControl/>
                    <w:jc w:val="center"/>
                    <w:textAlignment w:val="center"/>
                    <w:rPr>
                      <w:rFonts w:hint="default" w:cs="Times New Roman" w:eastAsiaTheme="minorEastAsia"/>
                      <w:color w:val="0000FF"/>
                      <w:sz w:val="21"/>
                      <w:highlight w:val="yellow"/>
                      <w:u w:val="single"/>
                      <w:lang w:val="en-US" w:eastAsia="zh-CN"/>
                    </w:rPr>
                  </w:pPr>
                  <w:r>
                    <w:rPr>
                      <w:rFonts w:hint="eastAsia" w:cs="Times New Roman"/>
                      <w:bCs/>
                      <w:color w:val="0000FF"/>
                      <w:sz w:val="21"/>
                      <w:u w:val="single"/>
                      <w:lang w:val="en-US" w:eastAsia="zh-CN"/>
                    </w:rPr>
                    <w:t>45000</w:t>
                  </w:r>
                </w:p>
              </w:tc>
              <w:tc>
                <w:tcPr>
                  <w:tcW w:w="1576" w:type="pct"/>
                  <w:vAlign w:val="center"/>
                </w:tcPr>
                <w:p>
                  <w:pPr>
                    <w:jc w:val="center"/>
                    <w:rPr>
                      <w:rFonts w:cs="Times New Roman"/>
                      <w:color w:val="FF0000"/>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693" w:type="pct"/>
                  <w:vMerge w:val="continue"/>
                  <w:vAlign w:val="center"/>
                </w:tcPr>
                <w:p>
                  <w:pPr>
                    <w:jc w:val="center"/>
                    <w:rPr>
                      <w:rFonts w:cs="Times New Roman"/>
                      <w:color w:val="0000FF"/>
                      <w:sz w:val="21"/>
                      <w:u w:val="single"/>
                    </w:rPr>
                  </w:pPr>
                </w:p>
              </w:tc>
              <w:tc>
                <w:tcPr>
                  <w:tcW w:w="1153" w:type="pct"/>
                  <w:vAlign w:val="center"/>
                </w:tcPr>
                <w:p>
                  <w:pPr>
                    <w:jc w:val="center"/>
                    <w:rPr>
                      <w:rFonts w:cs="Times New Roman"/>
                      <w:bCs/>
                      <w:color w:val="0000FF"/>
                      <w:sz w:val="21"/>
                      <w:u w:val="single"/>
                    </w:rPr>
                  </w:pPr>
                  <w:r>
                    <w:rPr>
                      <w:rFonts w:hint="eastAsia" w:cs="Times New Roman"/>
                      <w:bCs/>
                      <w:color w:val="0000FF"/>
                      <w:sz w:val="21"/>
                      <w:u w:val="single"/>
                    </w:rPr>
                    <w:t>外加剂</w:t>
                  </w:r>
                </w:p>
              </w:tc>
              <w:tc>
                <w:tcPr>
                  <w:tcW w:w="995" w:type="pct"/>
                  <w:vAlign w:val="center"/>
                </w:tcPr>
                <w:p>
                  <w:pPr>
                    <w:widowControl/>
                    <w:jc w:val="center"/>
                    <w:textAlignment w:val="center"/>
                    <w:rPr>
                      <w:rFonts w:hint="default" w:cs="Times New Roman" w:eastAsiaTheme="minorEastAsia"/>
                      <w:bCs/>
                      <w:color w:val="0000FF"/>
                      <w:sz w:val="21"/>
                      <w:u w:val="single"/>
                      <w:lang w:val="en-US" w:eastAsia="zh-CN"/>
                    </w:rPr>
                  </w:pPr>
                  <w:r>
                    <w:rPr>
                      <w:rFonts w:hint="eastAsia" w:cs="Times New Roman"/>
                      <w:bCs/>
                      <w:color w:val="0000FF"/>
                      <w:sz w:val="21"/>
                      <w:u w:val="single"/>
                      <w:lang w:val="en-US" w:eastAsia="zh-CN"/>
                    </w:rPr>
                    <w:t>7933.84</w:t>
                  </w:r>
                </w:p>
              </w:tc>
              <w:tc>
                <w:tcPr>
                  <w:tcW w:w="1576" w:type="pct"/>
                  <w:vAlign w:val="center"/>
                </w:tcPr>
                <w:p>
                  <w:pPr>
                    <w:jc w:val="center"/>
                    <w:rPr>
                      <w:rFonts w:cs="Times New Roman"/>
                      <w:color w:val="0000FF"/>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693" w:type="pct"/>
                  <w:vMerge w:val="continue"/>
                  <w:vAlign w:val="center"/>
                </w:tcPr>
                <w:p>
                  <w:pPr>
                    <w:jc w:val="center"/>
                    <w:rPr>
                      <w:rFonts w:cs="Times New Roman"/>
                      <w:color w:val="0000FF"/>
                      <w:sz w:val="21"/>
                      <w:u w:val="single"/>
                    </w:rPr>
                  </w:pPr>
                </w:p>
              </w:tc>
              <w:tc>
                <w:tcPr>
                  <w:tcW w:w="1153" w:type="pct"/>
                  <w:vAlign w:val="center"/>
                </w:tcPr>
                <w:p>
                  <w:pPr>
                    <w:jc w:val="center"/>
                    <w:rPr>
                      <w:rFonts w:cs="Times New Roman"/>
                      <w:bCs/>
                      <w:color w:val="0000FF"/>
                      <w:sz w:val="21"/>
                      <w:u w:val="single"/>
                    </w:rPr>
                  </w:pPr>
                  <w:r>
                    <w:rPr>
                      <w:rFonts w:cs="Times New Roman"/>
                      <w:bCs/>
                      <w:color w:val="0000FF"/>
                      <w:sz w:val="21"/>
                      <w:u w:val="single"/>
                    </w:rPr>
                    <w:t>水</w:t>
                  </w:r>
                </w:p>
              </w:tc>
              <w:tc>
                <w:tcPr>
                  <w:tcW w:w="995" w:type="pct"/>
                  <w:vAlign w:val="center"/>
                </w:tcPr>
                <w:p>
                  <w:pPr>
                    <w:widowControl/>
                    <w:jc w:val="center"/>
                    <w:textAlignment w:val="center"/>
                    <w:rPr>
                      <w:rFonts w:hint="default" w:cs="Times New Roman" w:eastAsiaTheme="minorEastAsia"/>
                      <w:bCs/>
                      <w:color w:val="0000FF"/>
                      <w:sz w:val="21"/>
                      <w:u w:val="single"/>
                      <w:lang w:val="en-US" w:eastAsia="zh-CN"/>
                    </w:rPr>
                  </w:pPr>
                  <w:r>
                    <w:rPr>
                      <w:rFonts w:hint="eastAsia" w:cs="Times New Roman"/>
                      <w:bCs/>
                      <w:color w:val="0000FF"/>
                      <w:sz w:val="21"/>
                      <w:u w:val="single"/>
                      <w:lang w:val="en-US" w:eastAsia="zh-CN"/>
                    </w:rPr>
                    <w:t>108000</w:t>
                  </w:r>
                </w:p>
              </w:tc>
              <w:tc>
                <w:tcPr>
                  <w:tcW w:w="1576" w:type="pct"/>
                  <w:vAlign w:val="center"/>
                </w:tcPr>
                <w:p>
                  <w:pPr>
                    <w:jc w:val="center"/>
                    <w:rPr>
                      <w:rFonts w:cs="Times New Roman"/>
                      <w:color w:val="0000FF"/>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1847" w:type="pct"/>
                  <w:gridSpan w:val="2"/>
                  <w:vAlign w:val="center"/>
                </w:tcPr>
                <w:p>
                  <w:pPr>
                    <w:jc w:val="center"/>
                    <w:rPr>
                      <w:rFonts w:cs="Times New Roman"/>
                      <w:bCs/>
                      <w:color w:val="0000FF"/>
                      <w:sz w:val="21"/>
                      <w:u w:val="single"/>
                    </w:rPr>
                  </w:pPr>
                  <w:r>
                    <w:rPr>
                      <w:rFonts w:cs="Times New Roman"/>
                      <w:color w:val="0000FF"/>
                      <w:sz w:val="21"/>
                      <w:u w:val="single"/>
                    </w:rPr>
                    <w:t>总计</w:t>
                  </w:r>
                </w:p>
              </w:tc>
              <w:tc>
                <w:tcPr>
                  <w:tcW w:w="995" w:type="pct"/>
                  <w:vAlign w:val="center"/>
                </w:tcPr>
                <w:p>
                  <w:pPr>
                    <w:widowControl/>
                    <w:jc w:val="center"/>
                    <w:textAlignment w:val="center"/>
                    <w:rPr>
                      <w:rFonts w:hint="default" w:cs="Times New Roman" w:eastAsiaTheme="minorEastAsia"/>
                      <w:bCs/>
                      <w:color w:val="0000FF"/>
                      <w:sz w:val="21"/>
                      <w:u w:val="single"/>
                      <w:lang w:val="en-US" w:eastAsia="zh-CN"/>
                    </w:rPr>
                  </w:pPr>
                  <w:r>
                    <w:rPr>
                      <w:rFonts w:hint="eastAsia" w:cs="Times New Roman"/>
                      <w:bCs/>
                      <w:color w:val="FF0000"/>
                      <w:sz w:val="21"/>
                      <w:u w:val="single"/>
                      <w:lang w:val="en-US" w:eastAsia="zh-CN"/>
                    </w:rPr>
                    <w:t>2140933.84</w:t>
                  </w:r>
                </w:p>
              </w:tc>
              <w:tc>
                <w:tcPr>
                  <w:tcW w:w="1576" w:type="pct"/>
                  <w:vAlign w:val="center"/>
                </w:tcPr>
                <w:p>
                  <w:pPr>
                    <w:jc w:val="center"/>
                    <w:rPr>
                      <w:rFonts w:cs="Times New Roman"/>
                      <w:color w:val="0000FF"/>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restart"/>
                  <w:vAlign w:val="center"/>
                </w:tcPr>
                <w:p>
                  <w:pPr>
                    <w:jc w:val="center"/>
                    <w:rPr>
                      <w:rFonts w:cs="Times New Roman"/>
                      <w:color w:val="0000FF"/>
                      <w:sz w:val="21"/>
                      <w:u w:val="single"/>
                    </w:rPr>
                  </w:pPr>
                  <w:r>
                    <w:rPr>
                      <w:rFonts w:cs="Times New Roman"/>
                      <w:color w:val="0000FF"/>
                      <w:sz w:val="21"/>
                      <w:u w:val="single"/>
                    </w:rPr>
                    <w:t>出方</w:t>
                  </w:r>
                </w:p>
              </w:tc>
              <w:tc>
                <w:tcPr>
                  <w:tcW w:w="693" w:type="pct"/>
                  <w:vAlign w:val="center"/>
                </w:tcPr>
                <w:p>
                  <w:pPr>
                    <w:jc w:val="center"/>
                    <w:rPr>
                      <w:rFonts w:cs="Times New Roman"/>
                      <w:color w:val="0000FF"/>
                      <w:sz w:val="21"/>
                      <w:u w:val="single"/>
                    </w:rPr>
                  </w:pPr>
                  <w:r>
                    <w:rPr>
                      <w:rFonts w:cs="Times New Roman"/>
                      <w:color w:val="0000FF"/>
                      <w:sz w:val="21"/>
                      <w:u w:val="single"/>
                    </w:rPr>
                    <w:t>产品</w:t>
                  </w:r>
                </w:p>
              </w:tc>
              <w:tc>
                <w:tcPr>
                  <w:tcW w:w="1153" w:type="pct"/>
                  <w:vAlign w:val="center"/>
                </w:tcPr>
                <w:p>
                  <w:pPr>
                    <w:jc w:val="center"/>
                    <w:rPr>
                      <w:rFonts w:cs="Times New Roman"/>
                      <w:color w:val="0000FF"/>
                      <w:kern w:val="0"/>
                      <w:sz w:val="21"/>
                      <w:u w:val="single"/>
                    </w:rPr>
                  </w:pPr>
                  <w:r>
                    <w:rPr>
                      <w:rFonts w:cs="Times New Roman"/>
                      <w:color w:val="0000FF"/>
                      <w:kern w:val="0"/>
                      <w:sz w:val="21"/>
                      <w:u w:val="single"/>
                    </w:rPr>
                    <w:t>混凝土</w:t>
                  </w:r>
                </w:p>
              </w:tc>
              <w:tc>
                <w:tcPr>
                  <w:tcW w:w="995" w:type="pct"/>
                  <w:vAlign w:val="center"/>
                </w:tcPr>
                <w:p>
                  <w:pPr>
                    <w:widowControl/>
                    <w:jc w:val="center"/>
                    <w:textAlignment w:val="center"/>
                    <w:rPr>
                      <w:rFonts w:hint="default" w:cs="Times New Roman" w:eastAsiaTheme="minorEastAsia"/>
                      <w:color w:val="0000FF"/>
                      <w:sz w:val="21"/>
                      <w:highlight w:val="yellow"/>
                      <w:u w:val="single"/>
                      <w:lang w:val="en-US" w:eastAsia="zh-CN"/>
                    </w:rPr>
                  </w:pPr>
                  <w:r>
                    <w:rPr>
                      <w:rFonts w:hint="eastAsia" w:cs="Times New Roman"/>
                      <w:bCs/>
                      <w:color w:val="000000" w:themeColor="text1"/>
                      <w:sz w:val="21"/>
                      <w:u w:val="single"/>
                      <w:lang w:val="en-US" w:eastAsia="zh-CN"/>
                    </w:rPr>
                    <w:t>2140200</w:t>
                  </w:r>
                </w:p>
              </w:tc>
              <w:tc>
                <w:tcPr>
                  <w:tcW w:w="1576" w:type="pct"/>
                  <w:vAlign w:val="center"/>
                </w:tcPr>
                <w:p>
                  <w:pPr>
                    <w:jc w:val="center"/>
                    <w:rPr>
                      <w:rFonts w:cs="Times New Roman"/>
                      <w:color w:val="0000FF"/>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693" w:type="pct"/>
                  <w:vAlign w:val="center"/>
                </w:tcPr>
                <w:p>
                  <w:pPr>
                    <w:jc w:val="center"/>
                    <w:rPr>
                      <w:rFonts w:cs="Times New Roman"/>
                      <w:color w:val="0000FF"/>
                      <w:sz w:val="21"/>
                      <w:u w:val="single"/>
                    </w:rPr>
                  </w:pPr>
                  <w:r>
                    <w:rPr>
                      <w:rFonts w:cs="Times New Roman"/>
                      <w:color w:val="0000FF"/>
                      <w:sz w:val="21"/>
                      <w:u w:val="single"/>
                    </w:rPr>
                    <w:t>废气</w:t>
                  </w:r>
                </w:p>
              </w:tc>
              <w:tc>
                <w:tcPr>
                  <w:tcW w:w="1153" w:type="pct"/>
                  <w:vAlign w:val="center"/>
                </w:tcPr>
                <w:p>
                  <w:pPr>
                    <w:jc w:val="center"/>
                    <w:rPr>
                      <w:rFonts w:cs="Times New Roman"/>
                      <w:color w:val="0000FF"/>
                      <w:kern w:val="0"/>
                      <w:sz w:val="21"/>
                      <w:u w:val="single"/>
                    </w:rPr>
                  </w:pPr>
                  <w:r>
                    <w:rPr>
                      <w:rFonts w:cs="Times New Roman"/>
                      <w:color w:val="0000FF"/>
                      <w:kern w:val="0"/>
                      <w:sz w:val="21"/>
                      <w:u w:val="single"/>
                    </w:rPr>
                    <w:t>颗粒物</w:t>
                  </w:r>
                </w:p>
              </w:tc>
              <w:tc>
                <w:tcPr>
                  <w:tcW w:w="995" w:type="pct"/>
                  <w:vAlign w:val="center"/>
                </w:tcPr>
                <w:p>
                  <w:pPr>
                    <w:widowControl/>
                    <w:jc w:val="center"/>
                    <w:textAlignment w:val="center"/>
                    <w:rPr>
                      <w:rFonts w:hint="default" w:cs="Times New Roman" w:eastAsiaTheme="minorEastAsia"/>
                      <w:color w:val="0000FF"/>
                      <w:sz w:val="21"/>
                      <w:highlight w:val="yellow"/>
                      <w:u w:val="single"/>
                      <w:lang w:val="en-US" w:eastAsia="zh-CN"/>
                    </w:rPr>
                  </w:pPr>
                  <w:r>
                    <w:rPr>
                      <w:rFonts w:hint="eastAsia" w:cs="Times New Roman"/>
                      <w:bCs/>
                      <w:color w:val="000000" w:themeColor="text1"/>
                      <w:sz w:val="21"/>
                      <w:u w:val="single"/>
                      <w:lang w:val="en-US" w:eastAsia="zh-CN"/>
                    </w:rPr>
                    <w:t>231.57</w:t>
                  </w:r>
                </w:p>
              </w:tc>
              <w:tc>
                <w:tcPr>
                  <w:tcW w:w="1576" w:type="pct"/>
                  <w:vAlign w:val="center"/>
                </w:tcPr>
                <w:p>
                  <w:pPr>
                    <w:jc w:val="center"/>
                    <w:rPr>
                      <w:rFonts w:cs="Times New Roman"/>
                      <w:color w:val="0000FF"/>
                      <w:sz w:val="21"/>
                      <w:u w:val="single"/>
                    </w:rPr>
                  </w:pPr>
                  <w:r>
                    <w:rPr>
                      <w:rFonts w:cs="Times New Roman"/>
                      <w:color w:val="0000FF"/>
                      <w:sz w:val="21"/>
                      <w:u w:val="single"/>
                    </w:rPr>
                    <w:t>包括原料筒仓有组织、无组织产生量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693" w:type="pct"/>
                  <w:vMerge w:val="restart"/>
                  <w:vAlign w:val="center"/>
                </w:tcPr>
                <w:p>
                  <w:pPr>
                    <w:jc w:val="center"/>
                    <w:rPr>
                      <w:rFonts w:cs="Times New Roman"/>
                      <w:color w:val="0000FF"/>
                      <w:sz w:val="21"/>
                      <w:u w:val="single"/>
                    </w:rPr>
                  </w:pPr>
                  <w:r>
                    <w:rPr>
                      <w:rFonts w:cs="Times New Roman"/>
                      <w:color w:val="0000FF"/>
                      <w:sz w:val="21"/>
                      <w:u w:val="single"/>
                    </w:rPr>
                    <w:t>固废</w:t>
                  </w:r>
                </w:p>
              </w:tc>
              <w:tc>
                <w:tcPr>
                  <w:tcW w:w="1153" w:type="pct"/>
                  <w:vAlign w:val="center"/>
                </w:tcPr>
                <w:p>
                  <w:pPr>
                    <w:jc w:val="center"/>
                    <w:rPr>
                      <w:rFonts w:cs="Times New Roman"/>
                      <w:color w:val="0000FF"/>
                      <w:kern w:val="0"/>
                      <w:sz w:val="21"/>
                      <w:u w:val="single"/>
                    </w:rPr>
                  </w:pPr>
                  <w:r>
                    <w:rPr>
                      <w:rFonts w:cs="Times New Roman"/>
                      <w:bCs/>
                      <w:color w:val="0000FF"/>
                      <w:sz w:val="21"/>
                      <w:u w:val="single"/>
                    </w:rPr>
                    <w:t>沉淀池的沉淀</w:t>
                  </w:r>
                </w:p>
              </w:tc>
              <w:tc>
                <w:tcPr>
                  <w:tcW w:w="995" w:type="pct"/>
                  <w:vAlign w:val="center"/>
                </w:tcPr>
                <w:p>
                  <w:pPr>
                    <w:widowControl/>
                    <w:jc w:val="center"/>
                    <w:textAlignment w:val="center"/>
                    <w:rPr>
                      <w:rFonts w:cs="Times New Roman"/>
                      <w:color w:val="0000FF"/>
                      <w:kern w:val="0"/>
                      <w:sz w:val="21"/>
                      <w:u w:val="single"/>
                    </w:rPr>
                  </w:pPr>
                  <w:r>
                    <w:rPr>
                      <w:rFonts w:hint="eastAsia" w:cs="Times New Roman"/>
                      <w:color w:val="0000FF"/>
                      <w:kern w:val="0"/>
                      <w:sz w:val="21"/>
                      <w:u w:val="single"/>
                    </w:rPr>
                    <w:t>2.27</w:t>
                  </w:r>
                </w:p>
              </w:tc>
              <w:tc>
                <w:tcPr>
                  <w:tcW w:w="1576" w:type="pct"/>
                  <w:vAlign w:val="center"/>
                </w:tcPr>
                <w:p>
                  <w:pPr>
                    <w:jc w:val="center"/>
                    <w:rPr>
                      <w:rFonts w:cs="Times New Roman"/>
                      <w:color w:val="0000FF"/>
                      <w:sz w:val="21"/>
                      <w:u w:val="single"/>
                    </w:rPr>
                  </w:pPr>
                  <w:r>
                    <w:rPr>
                      <w:rFonts w:cs="Times New Roman"/>
                      <w:color w:val="0000FF"/>
                      <w:sz w:val="21"/>
                      <w:u w:val="single"/>
                    </w:rPr>
                    <w:t>可定期进行清理后返回生产工序进行生产使用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693" w:type="pct"/>
                  <w:vMerge w:val="continue"/>
                  <w:vAlign w:val="center"/>
                </w:tcPr>
                <w:p>
                  <w:pPr>
                    <w:jc w:val="center"/>
                    <w:rPr>
                      <w:rFonts w:cs="Times New Roman"/>
                      <w:color w:val="0000FF"/>
                      <w:sz w:val="21"/>
                      <w:u w:val="single"/>
                    </w:rPr>
                  </w:pPr>
                </w:p>
              </w:tc>
              <w:tc>
                <w:tcPr>
                  <w:tcW w:w="1153" w:type="pct"/>
                  <w:vAlign w:val="center"/>
                </w:tcPr>
                <w:p>
                  <w:pPr>
                    <w:jc w:val="center"/>
                    <w:rPr>
                      <w:rFonts w:cs="Times New Roman"/>
                      <w:color w:val="0000FF"/>
                      <w:kern w:val="0"/>
                      <w:sz w:val="21"/>
                      <w:u w:val="single"/>
                    </w:rPr>
                  </w:pPr>
                  <w:r>
                    <w:rPr>
                      <w:rFonts w:hint="eastAsia" w:cs="Times New Roman"/>
                      <w:color w:val="0000FF"/>
                      <w:kern w:val="0"/>
                      <w:sz w:val="21"/>
                      <w:u w:val="single"/>
                    </w:rPr>
                    <w:t>实验室废料</w:t>
                  </w:r>
                </w:p>
              </w:tc>
              <w:tc>
                <w:tcPr>
                  <w:tcW w:w="995" w:type="pct"/>
                  <w:vAlign w:val="center"/>
                </w:tcPr>
                <w:p>
                  <w:pPr>
                    <w:widowControl/>
                    <w:jc w:val="center"/>
                    <w:textAlignment w:val="center"/>
                    <w:rPr>
                      <w:rFonts w:hint="default" w:cs="Times New Roman" w:eastAsiaTheme="minorEastAsia"/>
                      <w:color w:val="0000FF"/>
                      <w:sz w:val="21"/>
                      <w:highlight w:val="yellow"/>
                      <w:u w:val="single"/>
                      <w:lang w:val="en-US" w:eastAsia="zh-CN"/>
                    </w:rPr>
                  </w:pPr>
                  <w:r>
                    <w:rPr>
                      <w:rFonts w:hint="eastAsia" w:cs="Times New Roman"/>
                      <w:color w:val="0000FF"/>
                      <w:kern w:val="0"/>
                      <w:sz w:val="21"/>
                      <w:u w:val="single"/>
                      <w:lang w:val="en-US" w:eastAsia="zh-CN"/>
                    </w:rPr>
                    <w:t>500</w:t>
                  </w:r>
                </w:p>
              </w:tc>
              <w:tc>
                <w:tcPr>
                  <w:tcW w:w="1576" w:type="pct"/>
                  <w:vAlign w:val="center"/>
                </w:tcPr>
                <w:p>
                  <w:pPr>
                    <w:jc w:val="center"/>
                    <w:rPr>
                      <w:rFonts w:cs="Times New Roman"/>
                      <w:color w:val="0000FF"/>
                      <w:sz w:val="21"/>
                      <w:u w:val="single"/>
                    </w:rPr>
                  </w:pPr>
                  <w:r>
                    <w:rPr>
                      <w:rFonts w:cs="Times New Roman"/>
                      <w:color w:val="0000FF"/>
                      <w:sz w:val="21"/>
                      <w:u w:val="single"/>
                    </w:rPr>
                    <w:t>实验室完成后实验废料送至砂石分离机处理，其中的砂石回收利用，浆液流入沉淀处理后回用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0" w:type="pct"/>
                  <w:vMerge w:val="continue"/>
                  <w:vAlign w:val="center"/>
                </w:tcPr>
                <w:p>
                  <w:pPr>
                    <w:jc w:val="center"/>
                    <w:rPr>
                      <w:rFonts w:cs="Times New Roman"/>
                      <w:color w:val="0000FF"/>
                      <w:sz w:val="21"/>
                      <w:u w:val="single"/>
                    </w:rPr>
                  </w:pPr>
                </w:p>
              </w:tc>
              <w:tc>
                <w:tcPr>
                  <w:tcW w:w="1847" w:type="pct"/>
                  <w:gridSpan w:val="2"/>
                  <w:vAlign w:val="center"/>
                </w:tcPr>
                <w:p>
                  <w:pPr>
                    <w:jc w:val="center"/>
                    <w:rPr>
                      <w:rFonts w:cs="Times New Roman"/>
                      <w:color w:val="0000FF"/>
                      <w:kern w:val="0"/>
                      <w:sz w:val="21"/>
                      <w:u w:val="single"/>
                    </w:rPr>
                  </w:pPr>
                  <w:r>
                    <w:rPr>
                      <w:rFonts w:cs="Times New Roman"/>
                      <w:color w:val="0000FF"/>
                      <w:sz w:val="21"/>
                      <w:u w:val="single"/>
                    </w:rPr>
                    <w:t>总计</w:t>
                  </w:r>
                </w:p>
              </w:tc>
              <w:tc>
                <w:tcPr>
                  <w:tcW w:w="995" w:type="pct"/>
                  <w:vAlign w:val="center"/>
                </w:tcPr>
                <w:p>
                  <w:pPr>
                    <w:widowControl/>
                    <w:jc w:val="center"/>
                    <w:textAlignment w:val="center"/>
                    <w:rPr>
                      <w:rFonts w:cs="Times New Roman"/>
                      <w:color w:val="0000FF"/>
                      <w:sz w:val="21"/>
                      <w:u w:val="single"/>
                    </w:rPr>
                  </w:pPr>
                  <w:r>
                    <w:rPr>
                      <w:rFonts w:hint="eastAsia" w:cs="Times New Roman"/>
                      <w:bCs/>
                      <w:color w:val="FF0000"/>
                      <w:sz w:val="21"/>
                      <w:u w:val="single"/>
                      <w:lang w:val="en-US" w:eastAsia="zh-CN"/>
                    </w:rPr>
                    <w:t>2140933.84</w:t>
                  </w:r>
                </w:p>
              </w:tc>
              <w:tc>
                <w:tcPr>
                  <w:tcW w:w="1576" w:type="pct"/>
                  <w:vAlign w:val="center"/>
                </w:tcPr>
                <w:p>
                  <w:pPr>
                    <w:jc w:val="center"/>
                    <w:rPr>
                      <w:rFonts w:cs="Times New Roman"/>
                      <w:color w:val="0000FF"/>
                      <w:sz w:val="21"/>
                      <w:u w:val="single"/>
                    </w:rPr>
                  </w:pPr>
                </w:p>
              </w:tc>
            </w:tr>
          </w:tbl>
          <w:p>
            <w:pPr>
              <w:pStyle w:val="6"/>
              <w:rPr>
                <w:rFonts w:cs="Times New Roman"/>
                <w:b/>
                <w:bCs/>
              </w:rPr>
            </w:pPr>
            <w:r>
              <w:rPr>
                <w:rFonts w:cs="Times New Roman"/>
                <w:b/>
                <w:bCs/>
              </w:rPr>
              <w:t>主要污染工序及污染源强</w:t>
            </w:r>
          </w:p>
          <w:p>
            <w:pPr>
              <w:pStyle w:val="7"/>
              <w:rPr>
                <w:rFonts w:cs="Times New Roman" w:eastAsiaTheme="minorEastAsia"/>
              </w:rPr>
            </w:pPr>
            <w:r>
              <w:rPr>
                <w:rFonts w:cs="Times New Roman" w:eastAsiaTheme="minorEastAsia"/>
              </w:rPr>
              <w:t>施工期</w:t>
            </w:r>
          </w:p>
          <w:p>
            <w:pPr>
              <w:adjustRightInd w:val="0"/>
              <w:snapToGrid w:val="0"/>
              <w:spacing w:line="360" w:lineRule="auto"/>
              <w:ind w:firstLine="480" w:firstLineChars="200"/>
              <w:rPr>
                <w:rFonts w:cs="Times New Roman"/>
              </w:rPr>
            </w:pPr>
            <w:r>
              <w:rPr>
                <w:rFonts w:cs="Times New Roman"/>
              </w:rPr>
              <w:t>（1）废水</w:t>
            </w:r>
          </w:p>
          <w:p>
            <w:pPr>
              <w:adjustRightInd w:val="0"/>
              <w:snapToGrid w:val="0"/>
              <w:spacing w:line="360" w:lineRule="auto"/>
              <w:ind w:firstLine="480" w:firstLineChars="200"/>
              <w:rPr>
                <w:rFonts w:cs="Times New Roman"/>
              </w:rPr>
            </w:pPr>
            <w:r>
              <w:rPr>
                <w:rFonts w:cs="Times New Roman"/>
              </w:rPr>
              <w:t>施工期废水污染源主要包括厂房基础施工产生的施工废水、施工人员的生活污水。</w:t>
            </w:r>
          </w:p>
          <w:p>
            <w:pPr>
              <w:adjustRightInd w:val="0"/>
              <w:snapToGrid w:val="0"/>
              <w:spacing w:line="360" w:lineRule="auto"/>
              <w:ind w:firstLine="480" w:firstLineChars="200"/>
              <w:rPr>
                <w:rFonts w:cs="Times New Roman"/>
              </w:rPr>
            </w:pPr>
            <w:r>
              <w:rPr>
                <w:rFonts w:cs="Times New Roman"/>
              </w:rPr>
              <w:t>①施工废水</w:t>
            </w:r>
          </w:p>
          <w:p>
            <w:pPr>
              <w:autoSpaceDE w:val="0"/>
              <w:autoSpaceDN w:val="0"/>
              <w:adjustRightInd w:val="0"/>
              <w:snapToGrid w:val="0"/>
              <w:spacing w:line="360" w:lineRule="auto"/>
              <w:ind w:firstLine="480" w:firstLineChars="200"/>
              <w:rPr>
                <w:rFonts w:cs="Times New Roman"/>
                <w:szCs w:val="24"/>
              </w:rPr>
            </w:pPr>
            <w:r>
              <w:rPr>
                <w:rFonts w:cs="Times New Roman"/>
                <w:szCs w:val="24"/>
              </w:rPr>
              <w:t>项目部分施工设备在工作时需不断的补充冷却水，以保证设备的正常运行，冷却水循环使用；设备和车辆在清洁过程中会产生少量的清洗废水，清洗废水主要污染物为SS，浓度为500~1000mg/L。经沉淀处理后用于路面养护用水。</w:t>
            </w:r>
          </w:p>
          <w:p>
            <w:pPr>
              <w:adjustRightInd w:val="0"/>
              <w:snapToGrid w:val="0"/>
              <w:spacing w:line="360" w:lineRule="auto"/>
              <w:ind w:firstLine="480" w:firstLineChars="200"/>
              <w:rPr>
                <w:rFonts w:cs="Times New Roman"/>
              </w:rPr>
            </w:pPr>
            <w:r>
              <w:rPr>
                <w:rFonts w:cs="Times New Roman"/>
              </w:rPr>
              <w:t>②施工人员生活污水</w:t>
            </w:r>
          </w:p>
          <w:p>
            <w:pPr>
              <w:adjustRightInd w:val="0"/>
              <w:snapToGrid w:val="0"/>
              <w:spacing w:line="360" w:lineRule="auto"/>
              <w:ind w:firstLine="480" w:firstLineChars="200"/>
              <w:rPr>
                <w:rFonts w:cs="Times New Roman"/>
              </w:rPr>
            </w:pPr>
            <w:r>
              <w:rPr>
                <w:rFonts w:cs="Times New Roman"/>
              </w:rPr>
              <w:t>生活污水中主要含有COD、BOD</w:t>
            </w:r>
            <w:r>
              <w:rPr>
                <w:rFonts w:cs="Times New Roman"/>
                <w:vertAlign w:val="subscript"/>
              </w:rPr>
              <w:t>5</w:t>
            </w:r>
            <w:r>
              <w:rPr>
                <w:rFonts w:cs="Times New Roman"/>
              </w:rPr>
              <w:t>、SS和动植物油等污染物。施工期间约有施工队员20名，按照每人每天用水150L，排水系数0.8计算，则施工期间每天的生活污水排放量为2.4t/d。该污水中各污染物的排放浓度分别为：COD：210mg/L，BOD</w:t>
            </w:r>
            <w:r>
              <w:rPr>
                <w:rFonts w:cs="Times New Roman"/>
                <w:vertAlign w:val="subscript"/>
              </w:rPr>
              <w:t>5</w:t>
            </w:r>
            <w:r>
              <w:rPr>
                <w:rFonts w:cs="Times New Roman"/>
              </w:rPr>
              <w:t>：120mg/L，SS：180mg/L，动植物油：100mg/L。据此计算出施工期间生活污水每天各种污染物的排放量为：COD：0.55kg/d，BOD</w:t>
            </w:r>
            <w:r>
              <w:rPr>
                <w:rFonts w:cs="Times New Roman"/>
                <w:vertAlign w:val="subscript"/>
              </w:rPr>
              <w:t>5</w:t>
            </w:r>
            <w:r>
              <w:rPr>
                <w:rFonts w:cs="Times New Roman"/>
              </w:rPr>
              <w:t>：0.29kg/d，SS：0.43kg/d，动植物油：0.24kg/d。</w:t>
            </w:r>
          </w:p>
          <w:p>
            <w:pPr>
              <w:adjustRightInd w:val="0"/>
              <w:snapToGrid w:val="0"/>
              <w:spacing w:line="360" w:lineRule="auto"/>
              <w:ind w:firstLine="480" w:firstLineChars="200"/>
              <w:rPr>
                <w:rFonts w:cs="Times New Roman"/>
              </w:rPr>
            </w:pPr>
            <w:r>
              <w:rPr>
                <w:rFonts w:cs="Times New Roman"/>
              </w:rPr>
              <w:t>项目拟在场地内设置沉淀池收集施工废水经化粪池处理后进入湖南城陵矶临港产业新区污水处理厂处理。</w:t>
            </w:r>
          </w:p>
          <w:p>
            <w:pPr>
              <w:adjustRightInd w:val="0"/>
              <w:snapToGrid w:val="0"/>
              <w:spacing w:line="360" w:lineRule="auto"/>
              <w:ind w:firstLine="480" w:firstLineChars="200"/>
              <w:rPr>
                <w:rFonts w:cs="Times New Roman"/>
              </w:rPr>
            </w:pPr>
            <w:r>
              <w:rPr>
                <w:rFonts w:cs="Times New Roman"/>
              </w:rPr>
              <w:t>（2）废气</w:t>
            </w:r>
          </w:p>
          <w:p>
            <w:pPr>
              <w:adjustRightInd w:val="0"/>
              <w:snapToGrid w:val="0"/>
              <w:spacing w:line="360" w:lineRule="auto"/>
              <w:ind w:firstLine="480" w:firstLineChars="200"/>
              <w:rPr>
                <w:rFonts w:cs="Times New Roman"/>
              </w:rPr>
            </w:pPr>
            <w:r>
              <w:rPr>
                <w:rFonts w:cs="Times New Roman"/>
              </w:rPr>
              <w:t>施工期的发起污染源主要包括施工扬尘、施工车辆尾气等。</w:t>
            </w:r>
          </w:p>
          <w:p>
            <w:pPr>
              <w:adjustRightInd w:val="0"/>
              <w:snapToGrid w:val="0"/>
              <w:spacing w:line="360" w:lineRule="auto"/>
              <w:ind w:firstLine="480" w:firstLineChars="200"/>
              <w:rPr>
                <w:rFonts w:cs="Times New Roman"/>
              </w:rPr>
            </w:pPr>
            <w:r>
              <w:rPr>
                <w:rFonts w:cs="Times New Roman"/>
              </w:rPr>
              <w:t>①施工扬尘</w:t>
            </w:r>
          </w:p>
          <w:p>
            <w:pPr>
              <w:adjustRightInd w:val="0"/>
              <w:snapToGrid w:val="0"/>
              <w:spacing w:line="360" w:lineRule="auto"/>
              <w:ind w:firstLine="480" w:firstLineChars="200"/>
              <w:rPr>
                <w:rFonts w:cs="Times New Roman"/>
              </w:rPr>
            </w:pPr>
            <w:r>
              <w:rPr>
                <w:rFonts w:cs="Times New Roman"/>
              </w:rPr>
              <w:t>施工扬尘主要来自以下几个方面：清理场地阶段；土方的挖掘扬尘和现场堆放扬尘；建筑材料的现场搬运及堆放粉尘；施工垃圾的清运及堆放扬尘；人来车往所造成的现场道路扬尘；弃土场卸土扬尘。</w:t>
            </w:r>
          </w:p>
          <w:p>
            <w:pPr>
              <w:pStyle w:val="113"/>
              <w:spacing w:before="0" w:line="360" w:lineRule="auto"/>
              <w:ind w:firstLine="480"/>
              <w:rPr>
                <w:rFonts w:ascii="Times New Roman" w:hAnsi="Times New Roman" w:cs="Times New Roman"/>
              </w:rPr>
            </w:pPr>
            <w:r>
              <w:rPr>
                <w:rFonts w:ascii="Times New Roman" w:hAnsi="Times New Roman" w:cs="Times New Roman"/>
              </w:rPr>
              <w:t>根据有关资料显示，施工扬尘的主要是施工车辆行驶而形成，约占扬尘总量的60%，扬尘量的大小与天气干燥程度、道路路况、车辆行驶速度、风速大小有关；类比同类施工场地，施工车辆运输行驶于泥土路面而扬起的灰土，其灰尘的浓度可达到1～3g/m</w:t>
            </w:r>
            <w:r>
              <w:rPr>
                <w:rFonts w:ascii="Times New Roman" w:hAnsi="Times New Roman" w:cs="Times New Roman"/>
                <w:vertAlign w:val="superscript"/>
              </w:rPr>
              <w:t>3</w:t>
            </w:r>
            <w:r>
              <w:rPr>
                <w:rFonts w:ascii="Times New Roman" w:hAnsi="Times New Roman" w:cs="Times New Roman"/>
              </w:rPr>
              <w:t>。另外由于在挖方过程中破坏了地表结构，造成地面扬尘污染环境，扬尘的大小因施工现场工作条件、施工季节、施工阶段、管理水平、机械化程度及土质、天气条件的不同而差异较大。一般情况下，在自然风的作用下，扬尘受重力、浮力和气流运动的影响，可以发生沉降、上升和扩散，扬尘影响范围在80m以内。在大风天气，扬尘量及影响范围将有所扩大。施工中的弃土、砂料、宕渣、石灰等，若堆放时盖覆不当或装卸运输时散落，也会造成施工扬尘，影响范围在50m左右。</w:t>
            </w:r>
          </w:p>
          <w:p>
            <w:pPr>
              <w:pStyle w:val="113"/>
              <w:spacing w:before="0" w:line="360" w:lineRule="auto"/>
              <w:ind w:firstLine="480"/>
              <w:rPr>
                <w:rFonts w:ascii="Times New Roman" w:hAnsi="Times New Roman" w:cs="Times New Roman"/>
              </w:rPr>
            </w:pPr>
            <w:r>
              <w:rPr>
                <w:rFonts w:ascii="Times New Roman" w:hAnsi="Times New Roman" w:cs="Times New Roman"/>
              </w:rPr>
              <w:t>②汽车尾气</w:t>
            </w:r>
          </w:p>
          <w:p>
            <w:pPr>
              <w:pStyle w:val="113"/>
              <w:spacing w:before="0" w:line="360" w:lineRule="auto"/>
              <w:ind w:firstLine="480"/>
              <w:rPr>
                <w:rFonts w:ascii="Times New Roman" w:hAnsi="Times New Roman" w:cs="Times New Roman"/>
              </w:rPr>
            </w:pPr>
            <w:r>
              <w:rPr>
                <w:rFonts w:ascii="Times New Roman" w:hAnsi="Times New Roman" w:cs="Times New Roman"/>
              </w:rPr>
              <w:t>项目施工期间，使用机动车运送原材料、设备和建筑机械设备，施工车辆的运行会排放一定量的CO、NOx以及未完全燃烧的THC等。一般来说，施工车辆因其使用较频繁，车况较差，汽车尾气排放比较严重。排放的尾气污染物主要有CO、NOx、THC、微粒物（包括碳烟、硫酸盐、铅氧化物等）和二氧化碳等。工程施工车辆以50辆计，以每车1天耗油50L计算，则施工车辆每天排放的尾气中含CO：235kg、NOx：80kg、THC：235kg，施工车辆和机械设备应使用清洁燃油，不得使用劣质燃油。</w:t>
            </w:r>
          </w:p>
          <w:p>
            <w:pPr>
              <w:adjustRightInd w:val="0"/>
              <w:snapToGrid w:val="0"/>
              <w:spacing w:line="360" w:lineRule="auto"/>
              <w:ind w:firstLine="480" w:firstLineChars="200"/>
              <w:rPr>
                <w:rFonts w:cs="Times New Roman"/>
              </w:rPr>
            </w:pPr>
            <w:r>
              <w:rPr>
                <w:rFonts w:cs="Times New Roman"/>
              </w:rPr>
              <w:t>（3）噪声</w:t>
            </w:r>
          </w:p>
          <w:p>
            <w:pPr>
              <w:adjustRightInd w:val="0"/>
              <w:snapToGrid w:val="0"/>
              <w:spacing w:line="360" w:lineRule="auto"/>
              <w:ind w:firstLine="480" w:firstLineChars="200"/>
              <w:rPr>
                <w:rFonts w:cs="Times New Roman"/>
              </w:rPr>
            </w:pPr>
            <w:r>
              <w:rPr>
                <w:rFonts w:cs="Times New Roman"/>
              </w:rPr>
              <w:t>在施工阶段，随着工程的进度和施工工序的更替，将会采用不同机械和施工方法，噪声源主要包括施工场地各类机械设备作业产生的噪声、运输车辆产生的交通噪声等。主要施工机械设备的噪声声级</w:t>
            </w:r>
            <w:r>
              <w:fldChar w:fldCharType="begin"/>
            </w:r>
            <w:r>
              <w:instrText xml:space="preserve"> REF _Ref20344842 \h  \* MERGEFORMAT </w:instrText>
            </w:r>
            <w:r>
              <w:fldChar w:fldCharType="separate"/>
            </w:r>
            <w:r>
              <w:rPr>
                <w:rFonts w:cs="Times New Roman"/>
              </w:rPr>
              <w:t>表5.2</w:t>
            </w:r>
            <w:r>
              <w:rPr>
                <w:rFonts w:cs="Times New Roman"/>
              </w:rPr>
              <w:noBreakHyphen/>
            </w:r>
            <w:r>
              <w:rPr>
                <w:rFonts w:cs="Times New Roman"/>
              </w:rPr>
              <w:t>1</w:t>
            </w:r>
            <w:r>
              <w:rPr>
                <w:rFonts w:cs="Times New Roman"/>
              </w:rPr>
              <w:fldChar w:fldCharType="end"/>
            </w:r>
            <w:r>
              <w:rPr>
                <w:rFonts w:cs="Times New Roman"/>
              </w:rPr>
              <w:t>。</w:t>
            </w:r>
          </w:p>
          <w:p>
            <w:pPr>
              <w:keepNext/>
              <w:adjustRightInd w:val="0"/>
              <w:snapToGrid w:val="0"/>
              <w:ind w:firstLine="422" w:firstLineChars="200"/>
              <w:jc w:val="center"/>
              <w:rPr>
                <w:rFonts w:cs="Times New Roman"/>
                <w:sz w:val="21"/>
              </w:rPr>
            </w:pPr>
            <w:bookmarkStart w:id="16" w:name="_Ref493756796"/>
            <w:bookmarkStart w:id="17" w:name="_Ref20344842"/>
            <w:r>
              <w:rPr>
                <w:rFonts w:cs="Times New Roman"/>
                <w:b/>
                <w:sz w:val="21"/>
              </w:rPr>
              <w:t>表</w:t>
            </w:r>
            <w:bookmarkEnd w:id="16"/>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5.2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1</w:t>
            </w:r>
            <w:r>
              <w:rPr>
                <w:rFonts w:cs="Times New Roman"/>
                <w:b/>
                <w:sz w:val="21"/>
              </w:rPr>
              <w:fldChar w:fldCharType="end"/>
            </w:r>
            <w:bookmarkEnd w:id="17"/>
            <w:r>
              <w:rPr>
                <w:rFonts w:cs="Times New Roman"/>
                <w:b/>
                <w:sz w:val="21"/>
              </w:rPr>
              <w:t>主要施工机械设备的噪声声级</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36"/>
              <w:gridCol w:w="1717"/>
              <w:gridCol w:w="2026"/>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4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施工阶段</w:t>
                  </w:r>
                </w:p>
              </w:tc>
              <w:tc>
                <w:tcPr>
                  <w:tcW w:w="1034"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噪声特点</w:t>
                  </w: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主要噪声源</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距声源1m的声压级dB（A）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1046" w:type="pct"/>
                  <w:vMerge w:val="restart"/>
                  <w:tcBorders>
                    <w:top w:val="nil"/>
                    <w:left w:val="single" w:color="auto" w:sz="4" w:space="0"/>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基础工程施工阶段</w:t>
                  </w:r>
                </w:p>
              </w:tc>
              <w:tc>
                <w:tcPr>
                  <w:tcW w:w="1034" w:type="pct"/>
                  <w:vMerge w:val="restart"/>
                  <w:tcBorders>
                    <w:top w:val="nil"/>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移动式声源无明显指向性声功率级最高</w:t>
                  </w: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推土机</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83-88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1046"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34" w:type="pct"/>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挖掘机</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1046"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34" w:type="pct"/>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运输车辆</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1046"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34" w:type="pct"/>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混凝土罐车</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1046"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34" w:type="pct"/>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其他施工噪声</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80-88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1046" w:type="pct"/>
                  <w:vMerge w:val="restart"/>
                  <w:tcBorders>
                    <w:top w:val="nil"/>
                    <w:left w:val="single" w:color="auto" w:sz="4" w:space="0"/>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主体工程施工阶段</w:t>
                  </w:r>
                </w:p>
              </w:tc>
              <w:tc>
                <w:tcPr>
                  <w:tcW w:w="1034" w:type="pct"/>
                  <w:vMerge w:val="restart"/>
                  <w:tcBorders>
                    <w:top w:val="nil"/>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施工期长工作时间长影响面广</w:t>
                  </w: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运输车辆</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1046"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34" w:type="pct"/>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电钻</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1046"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34" w:type="pct"/>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其他施工噪声</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80-88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046" w:type="pct"/>
                  <w:vMerge w:val="restart"/>
                  <w:tcBorders>
                    <w:top w:val="nil"/>
                    <w:left w:val="single" w:color="auto" w:sz="4" w:space="0"/>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设备安装</w:t>
                  </w:r>
                </w:p>
              </w:tc>
              <w:tc>
                <w:tcPr>
                  <w:tcW w:w="1034" w:type="pct"/>
                  <w:vMerge w:val="restart"/>
                  <w:tcBorders>
                    <w:top w:val="nil"/>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施工期短声源强度小</w:t>
                  </w: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运输车辆</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82-90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046" w:type="pct"/>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34" w:type="pct"/>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122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其他装修噪声</w:t>
                  </w:r>
                </w:p>
              </w:tc>
              <w:tc>
                <w:tcPr>
                  <w:tcW w:w="1700" w:type="pct"/>
                  <w:tcBorders>
                    <w:top w:val="single" w:color="auto" w:sz="4" w:space="0"/>
                    <w:left w:val="nil"/>
                    <w:bottom w:val="single" w:color="auto" w:sz="4" w:space="0"/>
                    <w:right w:val="single" w:color="auto" w:sz="4" w:space="0"/>
                  </w:tcBorders>
                  <w:vAlign w:val="center"/>
                </w:tcPr>
                <w:p>
                  <w:pPr>
                    <w:autoSpaceDE w:val="0"/>
                    <w:autoSpaceDN w:val="0"/>
                    <w:adjustRightInd w:val="0"/>
                    <w:snapToGrid w:val="0"/>
                    <w:jc w:val="center"/>
                    <w:rPr>
                      <w:rFonts w:cs="Times New Roman"/>
                      <w:sz w:val="21"/>
                    </w:rPr>
                  </w:pPr>
                  <w:r>
                    <w:rPr>
                      <w:rFonts w:cs="Times New Roman"/>
                      <w:sz w:val="21"/>
                    </w:rPr>
                    <w:t>80-88</w:t>
                  </w:r>
                </w:p>
              </w:tc>
            </w:tr>
          </w:tbl>
          <w:p>
            <w:pPr>
              <w:adjustRightInd w:val="0"/>
              <w:snapToGrid w:val="0"/>
              <w:spacing w:line="360" w:lineRule="auto"/>
              <w:ind w:firstLine="480" w:firstLineChars="200"/>
              <w:rPr>
                <w:rFonts w:cs="Times New Roman"/>
              </w:rPr>
            </w:pPr>
            <w:r>
              <w:rPr>
                <w:rFonts w:cs="Times New Roman"/>
              </w:rPr>
              <w:t>（4）固体废物</w:t>
            </w:r>
          </w:p>
          <w:p>
            <w:pPr>
              <w:adjustRightInd w:val="0"/>
              <w:snapToGrid w:val="0"/>
              <w:spacing w:line="360" w:lineRule="auto"/>
              <w:ind w:firstLine="480" w:firstLineChars="200"/>
              <w:rPr>
                <w:rFonts w:cs="Times New Roman"/>
              </w:rPr>
            </w:pPr>
            <w:r>
              <w:rPr>
                <w:rFonts w:cs="Times New Roman"/>
              </w:rPr>
              <w:t>项目施工期产生的固体废物主要包括施工过程产生的开挖土方、建筑垃圾和施工人员产生的生活垃圾。</w:t>
            </w:r>
          </w:p>
          <w:p>
            <w:pPr>
              <w:adjustRightInd w:val="0"/>
              <w:snapToGrid w:val="0"/>
              <w:spacing w:line="360" w:lineRule="auto"/>
              <w:ind w:firstLine="480" w:firstLineChars="200"/>
              <w:rPr>
                <w:rFonts w:cs="Times New Roman"/>
              </w:rPr>
            </w:pPr>
            <w:r>
              <w:rPr>
                <w:rFonts w:cs="Times New Roman"/>
              </w:rPr>
              <w:t>根据建设单位初步设计，开挖土方全部场地内平衡，出现富余时，用作项目内道路路基填方。</w:t>
            </w:r>
          </w:p>
          <w:p>
            <w:pPr>
              <w:adjustRightInd w:val="0"/>
              <w:snapToGrid w:val="0"/>
              <w:spacing w:line="360" w:lineRule="auto"/>
              <w:ind w:firstLine="480" w:firstLineChars="200"/>
              <w:rPr>
                <w:rFonts w:cs="Times New Roman"/>
              </w:rPr>
            </w:pPr>
            <w:r>
              <w:rPr>
                <w:rFonts w:cs="Times New Roman"/>
              </w:rPr>
              <w:t>项目施工人员20人，生活垃圾产生量按照0.5kg/d</w:t>
            </w:r>
            <w:r>
              <w:rPr>
                <w:rFonts w:cs="Times New Roman"/>
                <w:vertAlign w:val="superscript"/>
              </w:rPr>
              <w:t>.</w:t>
            </w:r>
            <w:r>
              <w:rPr>
                <w:rFonts w:cs="Times New Roman"/>
              </w:rPr>
              <w:t>天计，</w:t>
            </w:r>
            <w:r>
              <w:rPr>
                <w:rFonts w:cs="Times New Roman"/>
                <w:szCs w:val="24"/>
              </w:rPr>
              <w:t>则项目施工产生的生活垃圾量为50kg/d。生活垃圾通过垃圾桶收集，并转运至附近垃圾收集点，</w:t>
            </w:r>
            <w:r>
              <w:rPr>
                <w:rFonts w:cs="Times New Roman"/>
              </w:rPr>
              <w:t>由环卫部门进行处理。</w:t>
            </w:r>
          </w:p>
          <w:p>
            <w:pPr>
              <w:adjustRightInd w:val="0"/>
              <w:snapToGrid w:val="0"/>
              <w:spacing w:line="360" w:lineRule="auto"/>
              <w:ind w:firstLine="480" w:firstLineChars="200"/>
              <w:rPr>
                <w:rFonts w:cs="Times New Roman"/>
              </w:rPr>
            </w:pPr>
            <w:r>
              <w:rPr>
                <w:rFonts w:cs="Times New Roman"/>
              </w:rPr>
              <w:t>项目在施工过程会产生建筑垃圾，根据同类型的项目可知，施工期建筑垃圾产生量约为360t。建筑垃圾经分类收集后，统一转运至附近垃圾收集点，由环卫部门处理。</w:t>
            </w:r>
          </w:p>
          <w:p>
            <w:pPr>
              <w:adjustRightInd w:val="0"/>
              <w:snapToGrid w:val="0"/>
              <w:spacing w:line="360" w:lineRule="auto"/>
              <w:ind w:firstLine="480" w:firstLineChars="200"/>
              <w:rPr>
                <w:rFonts w:cs="Times New Roman"/>
              </w:rPr>
            </w:pPr>
            <w:r>
              <w:rPr>
                <w:rFonts w:cs="Times New Roman"/>
              </w:rPr>
              <w:t>（5）生态破坏</w:t>
            </w:r>
          </w:p>
          <w:p>
            <w:pPr>
              <w:adjustRightInd w:val="0"/>
              <w:snapToGrid w:val="0"/>
              <w:spacing w:line="360" w:lineRule="auto"/>
              <w:ind w:firstLine="480" w:firstLineChars="200"/>
              <w:rPr>
                <w:rFonts w:cs="Times New Roman"/>
              </w:rPr>
            </w:pPr>
            <w:r>
              <w:rPr>
                <w:rFonts w:cs="Times New Roman"/>
              </w:rPr>
              <w:t>本项目场地原有土地类型为荒地，位于湖南省岳阳市临港新区长江大道东侧。项目厂房及配套设施施工过程扰动了表土结构，致使土壤抗蚀能力降低，加剧了水土流失。为减小施工期的生态环境影响，应合理安排施工计划，在保证工程质量的前提下，尽量缩短施工时间。施工场地周边应设置截排水沟渠，减少大气降水的汇入量，避免大量汇水冲刷施工裸露地面，而造成水土流失现象加剧。对厂区环境进行绿化，恢复和改善区域生态环境质量。</w:t>
            </w:r>
          </w:p>
          <w:p>
            <w:pPr>
              <w:pStyle w:val="7"/>
              <w:rPr>
                <w:rFonts w:cs="Times New Roman" w:eastAsiaTheme="minorEastAsia"/>
              </w:rPr>
            </w:pPr>
            <w:r>
              <w:rPr>
                <w:rFonts w:cs="Times New Roman" w:eastAsiaTheme="minorEastAsia"/>
              </w:rPr>
              <w:t>营运期</w:t>
            </w:r>
          </w:p>
          <w:p>
            <w:pPr>
              <w:pStyle w:val="8"/>
            </w:pPr>
            <w:r>
              <w:t>废水</w:t>
            </w:r>
          </w:p>
          <w:p>
            <w:pPr>
              <w:adjustRightInd w:val="0"/>
              <w:snapToGrid w:val="0"/>
              <w:spacing w:line="360" w:lineRule="auto"/>
              <w:ind w:firstLine="460" w:firstLineChars="192"/>
              <w:rPr>
                <w:rFonts w:cs="Times New Roman"/>
                <w:szCs w:val="24"/>
              </w:rPr>
            </w:pPr>
            <w:r>
              <w:rPr>
                <w:rFonts w:cs="Times New Roman"/>
              </w:rPr>
              <w:t>本项目废水主要为生产废水和生活废水。生产废水包括搅拌机清洗水、混凝土</w:t>
            </w:r>
            <w:r>
              <w:rPr>
                <w:rFonts w:cs="Times New Roman"/>
                <w:szCs w:val="24"/>
              </w:rPr>
              <w:t>运输车辆罐体清洗用水、混凝土运输车辆外部清洗用水、地面冲洗水及道路运输洒水、初期雨水等。</w:t>
            </w:r>
          </w:p>
          <w:p>
            <w:pPr>
              <w:adjustRightInd w:val="0"/>
              <w:snapToGrid w:val="0"/>
              <w:spacing w:line="360" w:lineRule="auto"/>
              <w:ind w:firstLine="480" w:firstLineChars="200"/>
              <w:rPr>
                <w:rFonts w:cs="Times New Roman"/>
              </w:rPr>
            </w:pPr>
            <w:r>
              <w:rPr>
                <w:rFonts w:cs="Times New Roman"/>
              </w:rPr>
              <w:t>（1）搅拌机清洗废水</w:t>
            </w:r>
          </w:p>
          <w:p>
            <w:pPr>
              <w:adjustRightInd w:val="0"/>
              <w:snapToGrid w:val="0"/>
              <w:spacing w:line="360" w:lineRule="auto"/>
              <w:ind w:firstLine="480" w:firstLineChars="200"/>
              <w:rPr>
                <w:rFonts w:cs="Times New Roman"/>
                <w:kern w:val="0"/>
                <w:szCs w:val="24"/>
              </w:rPr>
            </w:pPr>
            <w:r>
              <w:rPr>
                <w:rFonts w:cs="Times New Roman"/>
                <w:kern w:val="0"/>
                <w:szCs w:val="24"/>
              </w:rPr>
              <w:t>搅拌机为本项目的主要生产设备，其在暂时停止生产时必须冲洗干净。停止生产原因有生产节奏的问题及设备检修问题。2台搅拌机主机每天冲洗1次，每次冲洗用水量以2m</w:t>
            </w:r>
            <w:r>
              <w:rPr>
                <w:rFonts w:cs="Times New Roman"/>
                <w:kern w:val="0"/>
                <w:szCs w:val="24"/>
                <w:vertAlign w:val="superscript"/>
              </w:rPr>
              <w:t>3</w:t>
            </w:r>
            <w:r>
              <w:rPr>
                <w:rFonts w:cs="Times New Roman"/>
                <w:kern w:val="0"/>
                <w:szCs w:val="24"/>
              </w:rPr>
              <w:t>计，则搅拌机清洗用水量为4m</w:t>
            </w:r>
            <w:r>
              <w:rPr>
                <w:rFonts w:cs="Times New Roman"/>
                <w:kern w:val="0"/>
                <w:szCs w:val="24"/>
                <w:vertAlign w:val="superscript"/>
              </w:rPr>
              <w:t>3</w:t>
            </w:r>
            <w:r>
              <w:rPr>
                <w:rFonts w:cs="Times New Roman"/>
                <w:kern w:val="0"/>
                <w:szCs w:val="24"/>
              </w:rPr>
              <w:t>/d（</w:t>
            </w:r>
            <w:r>
              <w:rPr>
                <w:rFonts w:hint="eastAsia" w:cs="Times New Roman"/>
                <w:kern w:val="0"/>
                <w:szCs w:val="24"/>
              </w:rPr>
              <w:t>1320</w:t>
            </w:r>
            <w:r>
              <w:rPr>
                <w:rFonts w:cs="Times New Roman"/>
                <w:kern w:val="0"/>
                <w:szCs w:val="24"/>
              </w:rPr>
              <w:t>m</w:t>
            </w:r>
            <w:r>
              <w:rPr>
                <w:rFonts w:cs="Times New Roman"/>
                <w:kern w:val="0"/>
                <w:szCs w:val="24"/>
                <w:vertAlign w:val="superscript"/>
              </w:rPr>
              <w:t>3</w:t>
            </w:r>
            <w:r>
              <w:rPr>
                <w:rFonts w:cs="Times New Roman"/>
                <w:kern w:val="0"/>
                <w:szCs w:val="24"/>
              </w:rPr>
              <w:t>/a），产物系数为0.8，则搅拌机冲洗废水产生量为3.2m</w:t>
            </w:r>
            <w:r>
              <w:rPr>
                <w:rFonts w:cs="Times New Roman"/>
                <w:kern w:val="0"/>
                <w:szCs w:val="24"/>
                <w:vertAlign w:val="superscript"/>
              </w:rPr>
              <w:t>3</w:t>
            </w:r>
            <w:r>
              <w:rPr>
                <w:rFonts w:cs="Times New Roman"/>
                <w:kern w:val="0"/>
                <w:szCs w:val="24"/>
              </w:rPr>
              <w:t>/d（</w:t>
            </w:r>
            <w:r>
              <w:rPr>
                <w:rFonts w:hint="eastAsia" w:cs="Times New Roman"/>
                <w:kern w:val="0"/>
                <w:szCs w:val="24"/>
              </w:rPr>
              <w:t>1056</w:t>
            </w:r>
            <w:r>
              <w:rPr>
                <w:rFonts w:cs="Times New Roman"/>
                <w:kern w:val="0"/>
                <w:szCs w:val="24"/>
              </w:rPr>
              <w:t>m</w:t>
            </w:r>
            <w:r>
              <w:rPr>
                <w:rFonts w:cs="Times New Roman"/>
                <w:kern w:val="0"/>
                <w:szCs w:val="24"/>
                <w:vertAlign w:val="superscript"/>
              </w:rPr>
              <w:t>3</w:t>
            </w:r>
            <w:r>
              <w:rPr>
                <w:rFonts w:cs="Times New Roman"/>
                <w:kern w:val="0"/>
                <w:szCs w:val="24"/>
              </w:rPr>
              <w:t>/a），该废水经沉淀池沉淀出后循环使用不外排。</w:t>
            </w:r>
          </w:p>
          <w:p>
            <w:pPr>
              <w:adjustRightInd w:val="0"/>
              <w:snapToGrid w:val="0"/>
              <w:spacing w:line="360" w:lineRule="auto"/>
              <w:ind w:firstLine="480" w:firstLineChars="200"/>
              <w:rPr>
                <w:rFonts w:cs="Times New Roman"/>
                <w:kern w:val="0"/>
                <w:szCs w:val="24"/>
              </w:rPr>
            </w:pPr>
            <w:r>
              <w:rPr>
                <w:rFonts w:cs="Times New Roman"/>
                <w:kern w:val="0"/>
                <w:szCs w:val="24"/>
              </w:rPr>
              <w:t>（2）混凝土运输罐车罐体清洗废水</w:t>
            </w:r>
          </w:p>
          <w:p>
            <w:pPr>
              <w:adjustRightInd w:val="0"/>
              <w:snapToGrid w:val="0"/>
              <w:spacing w:line="360" w:lineRule="auto"/>
              <w:ind w:firstLine="480" w:firstLineChars="200"/>
              <w:rPr>
                <w:rFonts w:cs="Times New Roman"/>
                <w:kern w:val="0"/>
                <w:szCs w:val="24"/>
              </w:rPr>
            </w:pPr>
            <w:r>
              <w:rPr>
                <w:rFonts w:cs="Times New Roman"/>
                <w:kern w:val="0"/>
                <w:szCs w:val="24"/>
              </w:rPr>
              <w:t>车辆待混凝土出料完毕后，注入罐内，在返回途中让搅拌桶慢速转动，以清洗内壁，避免残余料渣在桶壁和搅拌叶子，并再装料前将这些水排出。根据建设单位提供的资料及类比同类项目可知，本项目运输车辆约为</w:t>
            </w:r>
            <w:r>
              <w:rPr>
                <w:rFonts w:hint="eastAsia" w:cs="Times New Roman"/>
                <w:kern w:val="0"/>
                <w:szCs w:val="24"/>
              </w:rPr>
              <w:t>30</w:t>
            </w:r>
            <w:r>
              <w:rPr>
                <w:rFonts w:cs="Times New Roman"/>
                <w:kern w:val="0"/>
                <w:szCs w:val="24"/>
              </w:rPr>
              <w:t>辆，其每辆车平均用水量为</w:t>
            </w:r>
            <w:r>
              <w:rPr>
                <w:rFonts w:hint="eastAsia" w:cs="Times New Roman"/>
                <w:kern w:val="0"/>
                <w:szCs w:val="24"/>
              </w:rPr>
              <w:t>1</w:t>
            </w:r>
            <w:r>
              <w:rPr>
                <w:rFonts w:cs="Times New Roman"/>
                <w:kern w:val="0"/>
                <w:szCs w:val="24"/>
              </w:rPr>
              <w:t>m</w:t>
            </w:r>
            <w:r>
              <w:rPr>
                <w:rFonts w:cs="Times New Roman"/>
                <w:kern w:val="0"/>
                <w:szCs w:val="24"/>
                <w:vertAlign w:val="superscript"/>
              </w:rPr>
              <w:t>3</w:t>
            </w:r>
            <w:r>
              <w:rPr>
                <w:rFonts w:cs="Times New Roman"/>
                <w:kern w:val="0"/>
                <w:szCs w:val="24"/>
              </w:rPr>
              <w:t>/（d﹒辆），则厂区混凝土运输罐车罐体清洗用水量为</w:t>
            </w:r>
            <w:r>
              <w:rPr>
                <w:rFonts w:hint="eastAsia" w:cs="Times New Roman"/>
                <w:kern w:val="0"/>
                <w:szCs w:val="24"/>
              </w:rPr>
              <w:t>30</w:t>
            </w:r>
            <w:r>
              <w:rPr>
                <w:rFonts w:cs="Times New Roman"/>
                <w:kern w:val="0"/>
                <w:szCs w:val="24"/>
              </w:rPr>
              <w:t>m</w:t>
            </w:r>
            <w:r>
              <w:rPr>
                <w:rFonts w:cs="Times New Roman"/>
                <w:kern w:val="0"/>
                <w:szCs w:val="24"/>
                <w:vertAlign w:val="superscript"/>
              </w:rPr>
              <w:t>3</w:t>
            </w:r>
            <w:r>
              <w:rPr>
                <w:rFonts w:cs="Times New Roman"/>
                <w:kern w:val="0"/>
                <w:szCs w:val="24"/>
              </w:rPr>
              <w:t>/d（</w:t>
            </w:r>
            <w:r>
              <w:rPr>
                <w:rFonts w:hint="eastAsia" w:cs="Times New Roman"/>
                <w:kern w:val="0"/>
                <w:szCs w:val="24"/>
              </w:rPr>
              <w:t>9900</w:t>
            </w:r>
            <w:r>
              <w:rPr>
                <w:rFonts w:cs="Times New Roman"/>
                <w:kern w:val="0"/>
                <w:szCs w:val="24"/>
              </w:rPr>
              <w:t>m</w:t>
            </w:r>
            <w:r>
              <w:rPr>
                <w:rFonts w:cs="Times New Roman"/>
                <w:kern w:val="0"/>
                <w:szCs w:val="24"/>
                <w:vertAlign w:val="superscript"/>
              </w:rPr>
              <w:t>3</w:t>
            </w:r>
            <w:r>
              <w:rPr>
                <w:rFonts w:cs="Times New Roman"/>
                <w:kern w:val="0"/>
                <w:szCs w:val="24"/>
              </w:rPr>
              <w:t>/a），产污系数为0.8，则混凝土运输罐车罐体清洗废水产生量为</w:t>
            </w:r>
            <w:r>
              <w:rPr>
                <w:rFonts w:hint="eastAsia" w:cs="Times New Roman"/>
                <w:kern w:val="0"/>
                <w:szCs w:val="24"/>
              </w:rPr>
              <w:t>24</w:t>
            </w:r>
            <w:r>
              <w:rPr>
                <w:rFonts w:cs="Times New Roman"/>
                <w:kern w:val="0"/>
                <w:szCs w:val="24"/>
              </w:rPr>
              <w:t>m</w:t>
            </w:r>
            <w:r>
              <w:rPr>
                <w:rFonts w:cs="Times New Roman"/>
                <w:kern w:val="0"/>
                <w:szCs w:val="24"/>
                <w:vertAlign w:val="superscript"/>
              </w:rPr>
              <w:t>3</w:t>
            </w:r>
            <w:r>
              <w:rPr>
                <w:rFonts w:cs="Times New Roman"/>
                <w:kern w:val="0"/>
                <w:szCs w:val="24"/>
              </w:rPr>
              <w:t>/d（</w:t>
            </w:r>
            <w:r>
              <w:rPr>
                <w:rFonts w:hint="eastAsia" w:cs="Times New Roman"/>
                <w:kern w:val="0"/>
                <w:szCs w:val="24"/>
              </w:rPr>
              <w:t>7920</w:t>
            </w:r>
            <w:r>
              <w:rPr>
                <w:rFonts w:cs="Times New Roman"/>
                <w:kern w:val="0"/>
                <w:szCs w:val="24"/>
              </w:rPr>
              <w:t>m</w:t>
            </w:r>
            <w:r>
              <w:rPr>
                <w:rFonts w:cs="Times New Roman"/>
                <w:kern w:val="0"/>
                <w:szCs w:val="24"/>
                <w:vertAlign w:val="superscript"/>
              </w:rPr>
              <w:t>3</w:t>
            </w:r>
            <w:r>
              <w:rPr>
                <w:rFonts w:cs="Times New Roman"/>
                <w:kern w:val="0"/>
                <w:szCs w:val="24"/>
              </w:rPr>
              <w:t>/a），该废水经砂石分离机及沉淀池沉淀处理后循环使用不外排。</w:t>
            </w:r>
          </w:p>
          <w:p>
            <w:pPr>
              <w:adjustRightInd w:val="0"/>
              <w:snapToGrid w:val="0"/>
              <w:spacing w:line="360" w:lineRule="auto"/>
              <w:ind w:firstLine="480" w:firstLineChars="200"/>
              <w:rPr>
                <w:rFonts w:cs="Times New Roman"/>
              </w:rPr>
            </w:pPr>
            <w:r>
              <w:rPr>
                <w:rFonts w:cs="Times New Roman"/>
              </w:rPr>
              <w:t>（3）混凝土运输车辆外部清洗废水</w:t>
            </w:r>
          </w:p>
          <w:p>
            <w:pPr>
              <w:adjustRightInd w:val="0"/>
              <w:snapToGrid w:val="0"/>
              <w:spacing w:line="360" w:lineRule="auto"/>
              <w:ind w:firstLine="480" w:firstLineChars="200"/>
              <w:rPr>
                <w:rFonts w:cs="Times New Roman"/>
              </w:rPr>
            </w:pPr>
            <w:r>
              <w:rPr>
                <w:rFonts w:cs="Times New Roman"/>
              </w:rPr>
              <w:t>混凝土运输车辆每次装料后需要对其表面进行冲洗，避免装料过程逸</w:t>
            </w:r>
            <w:r>
              <w:rPr>
                <w:rFonts w:cs="Times New Roman"/>
                <w:szCs w:val="24"/>
              </w:rPr>
              <w:t>散出来的料渣附在外部，根据建设单位提供的资料及类比同类型项目可知，混凝土运输车辆外部清洗用水量约10m</w:t>
            </w:r>
            <w:r>
              <w:rPr>
                <w:rFonts w:cs="Times New Roman"/>
                <w:szCs w:val="24"/>
                <w:vertAlign w:val="superscript"/>
              </w:rPr>
              <w:t>3</w:t>
            </w:r>
            <w:r>
              <w:rPr>
                <w:rFonts w:cs="Times New Roman"/>
                <w:szCs w:val="24"/>
              </w:rPr>
              <w:t>/d（</w:t>
            </w:r>
            <w:r>
              <w:rPr>
                <w:rFonts w:hint="eastAsia" w:cs="Times New Roman"/>
                <w:szCs w:val="24"/>
              </w:rPr>
              <w:t>3300</w:t>
            </w:r>
            <w:r>
              <w:rPr>
                <w:rFonts w:cs="Times New Roman"/>
                <w:szCs w:val="24"/>
              </w:rPr>
              <w:t>m</w:t>
            </w:r>
            <w:r>
              <w:rPr>
                <w:rFonts w:cs="Times New Roman"/>
                <w:szCs w:val="24"/>
                <w:vertAlign w:val="superscript"/>
              </w:rPr>
              <w:t>3</w:t>
            </w:r>
            <w:r>
              <w:rPr>
                <w:rFonts w:cs="Times New Roman"/>
                <w:szCs w:val="24"/>
              </w:rPr>
              <w:t>/a），产污系数为0.8，则混凝土运输车辆外部清洗废水产生量为8m</w:t>
            </w:r>
            <w:r>
              <w:rPr>
                <w:rFonts w:cs="Times New Roman"/>
                <w:szCs w:val="24"/>
                <w:vertAlign w:val="superscript"/>
              </w:rPr>
              <w:t>3</w:t>
            </w:r>
            <w:r>
              <w:rPr>
                <w:rFonts w:cs="Times New Roman"/>
                <w:szCs w:val="24"/>
              </w:rPr>
              <w:t>/d（</w:t>
            </w:r>
            <w:r>
              <w:rPr>
                <w:rFonts w:hint="eastAsia" w:cs="Times New Roman"/>
                <w:szCs w:val="24"/>
              </w:rPr>
              <w:t>2640</w:t>
            </w:r>
            <w:r>
              <w:rPr>
                <w:rFonts w:cs="Times New Roman"/>
                <w:szCs w:val="24"/>
              </w:rPr>
              <w:t>m</w:t>
            </w:r>
            <w:r>
              <w:rPr>
                <w:rFonts w:cs="Times New Roman"/>
                <w:szCs w:val="24"/>
                <w:vertAlign w:val="superscript"/>
              </w:rPr>
              <w:t>3</w:t>
            </w:r>
            <w:r>
              <w:rPr>
                <w:rFonts w:cs="Times New Roman"/>
                <w:szCs w:val="24"/>
              </w:rPr>
              <w:t>/a），</w:t>
            </w:r>
            <w:r>
              <w:rPr>
                <w:rFonts w:cs="Times New Roman"/>
                <w:kern w:val="0"/>
                <w:szCs w:val="24"/>
              </w:rPr>
              <w:t>该废水经沉淀池沉淀处理后循环使用不外排。</w:t>
            </w:r>
          </w:p>
          <w:p>
            <w:pPr>
              <w:adjustRightInd w:val="0"/>
              <w:snapToGrid w:val="0"/>
              <w:spacing w:line="360" w:lineRule="auto"/>
              <w:ind w:firstLine="480" w:firstLineChars="200"/>
              <w:rPr>
                <w:rFonts w:cs="Times New Roman"/>
              </w:rPr>
            </w:pPr>
            <w:r>
              <w:rPr>
                <w:rFonts w:cs="Times New Roman"/>
              </w:rPr>
              <w:t>（4）生产区及道路冲洗废水</w:t>
            </w:r>
          </w:p>
          <w:p>
            <w:pPr>
              <w:adjustRightInd w:val="0"/>
              <w:snapToGrid w:val="0"/>
              <w:spacing w:line="360" w:lineRule="auto"/>
              <w:ind w:firstLine="480" w:firstLineChars="200"/>
              <w:rPr>
                <w:rFonts w:cs="Times New Roman"/>
              </w:rPr>
            </w:pPr>
            <w:r>
              <w:rPr>
                <w:rFonts w:cs="Times New Roman"/>
              </w:rPr>
              <w:t>由于厂区内来往车辆较多，且运输物料部分为粉料、混凝土，因此，每天需对厂区硬化地面及道路进行冲洗，防止掉落的混凝土结块、同时防止扬尘。根据建设单位提供的资料及类比同类型项目可知，冲洗水量约为</w:t>
            </w:r>
            <w:r>
              <w:rPr>
                <w:rFonts w:hint="eastAsia" w:cs="Times New Roman"/>
              </w:rPr>
              <w:t>100</w:t>
            </w:r>
            <w:r>
              <w:rPr>
                <w:rFonts w:cs="Times New Roman"/>
              </w:rPr>
              <w:t>m</w:t>
            </w:r>
            <w:r>
              <w:rPr>
                <w:rFonts w:cs="Times New Roman"/>
                <w:vertAlign w:val="superscript"/>
              </w:rPr>
              <w:t>3</w:t>
            </w:r>
            <w:r>
              <w:rPr>
                <w:rFonts w:cs="Times New Roman"/>
              </w:rPr>
              <w:t>/d（</w:t>
            </w:r>
            <w:r>
              <w:rPr>
                <w:rFonts w:hint="eastAsia" w:cs="Times New Roman"/>
              </w:rPr>
              <w:t>33000</w:t>
            </w:r>
            <w:r>
              <w:rPr>
                <w:rFonts w:cs="Times New Roman"/>
              </w:rPr>
              <w:t>m</w:t>
            </w:r>
            <w:r>
              <w:rPr>
                <w:rFonts w:cs="Times New Roman"/>
                <w:vertAlign w:val="superscript"/>
              </w:rPr>
              <w:t>3</w:t>
            </w:r>
            <w:r>
              <w:rPr>
                <w:rFonts w:cs="Times New Roman"/>
              </w:rPr>
              <w:t>/a），</w:t>
            </w:r>
            <w:r>
              <w:rPr>
                <w:rFonts w:cs="Times New Roman"/>
                <w:szCs w:val="24"/>
              </w:rPr>
              <w:t>产污系数为0.8，</w:t>
            </w:r>
            <w:r>
              <w:rPr>
                <w:rFonts w:cs="Times New Roman"/>
              </w:rPr>
              <w:t>则冲洗废水产生量约为</w:t>
            </w:r>
            <w:r>
              <w:rPr>
                <w:rFonts w:hint="eastAsia" w:cs="Times New Roman"/>
              </w:rPr>
              <w:t>80</w:t>
            </w:r>
            <w:r>
              <w:rPr>
                <w:rFonts w:cs="Times New Roman"/>
              </w:rPr>
              <w:t>m</w:t>
            </w:r>
            <w:r>
              <w:rPr>
                <w:rFonts w:cs="Times New Roman"/>
                <w:vertAlign w:val="superscript"/>
              </w:rPr>
              <w:t>3</w:t>
            </w:r>
            <w:r>
              <w:rPr>
                <w:rFonts w:cs="Times New Roman"/>
              </w:rPr>
              <w:t>/d（</w:t>
            </w:r>
            <w:r>
              <w:rPr>
                <w:rFonts w:hint="eastAsia" w:cs="Times New Roman"/>
              </w:rPr>
              <w:t>26400</w:t>
            </w:r>
            <w:r>
              <w:rPr>
                <w:rFonts w:cs="Times New Roman"/>
              </w:rPr>
              <w:t>m</w:t>
            </w:r>
            <w:r>
              <w:rPr>
                <w:rFonts w:cs="Times New Roman"/>
                <w:vertAlign w:val="superscript"/>
              </w:rPr>
              <w:t>3</w:t>
            </w:r>
            <w:r>
              <w:rPr>
                <w:rFonts w:cs="Times New Roman"/>
              </w:rPr>
              <w:t>/a），该废水经沉淀池沉淀处理后循环使用不外排。</w:t>
            </w:r>
          </w:p>
          <w:p>
            <w:pPr>
              <w:adjustRightInd w:val="0"/>
              <w:snapToGrid w:val="0"/>
              <w:spacing w:line="360" w:lineRule="auto"/>
              <w:ind w:firstLine="480" w:firstLineChars="200"/>
              <w:rPr>
                <w:rFonts w:cs="Times New Roman"/>
              </w:rPr>
            </w:pPr>
            <w:r>
              <w:rPr>
                <w:rFonts w:cs="Times New Roman"/>
              </w:rPr>
              <w:t>（5）初期雨水</w:t>
            </w:r>
          </w:p>
          <w:p>
            <w:pPr>
              <w:pStyle w:val="113"/>
              <w:spacing w:line="360" w:lineRule="auto"/>
              <w:ind w:firstLine="480"/>
              <w:rPr>
                <w:rFonts w:ascii="Times New Roman" w:hAnsi="Times New Roman" w:cs="Times New Roman"/>
              </w:rPr>
            </w:pPr>
            <w:r>
              <w:rPr>
                <w:rFonts w:ascii="Times New Roman" w:hAnsi="Times New Roman" w:cs="Times New Roman"/>
              </w:rPr>
              <w:t>项目厂区内由于雨水的冲刷，使初期雨水中含有一定量的SS和砂石杂质，对于本项目的初期雨水通过雨水沟收集后并入沉淀池，其所需有效容积根据项目所在区域的降雨特征和初期雨水每次量确定，雨水收集池容量依据暴雨降雨初期（前15min）雨水量设计，根据《给水排水设计手册》（中国建筑工业出版社第五册“城市排水”部分），本项目采用</w:t>
            </w:r>
            <w:r>
              <w:rPr>
                <w:rFonts w:hint="eastAsia" w:ascii="Times New Roman" w:hAnsi="Times New Roman" w:cs="Times New Roman"/>
                <w:lang w:eastAsia="zh-CN"/>
              </w:rPr>
              <w:t>岳</w:t>
            </w:r>
            <w:r>
              <w:rPr>
                <w:rFonts w:ascii="Times New Roman" w:hAnsi="Times New Roman" w:cs="Times New Roman"/>
              </w:rPr>
              <w:t xml:space="preserve">阳地区暴雨强度计算公式： </w:t>
            </w:r>
          </w:p>
          <w:p>
            <w:pPr>
              <w:adjustRightInd w:val="0"/>
              <w:snapToGrid w:val="0"/>
              <w:spacing w:line="360" w:lineRule="auto"/>
              <w:jc w:val="center"/>
              <w:rPr>
                <w:rFonts w:cs="Times New Roman"/>
              </w:rPr>
            </w:pPr>
            <w:r>
              <w:rPr>
                <w:rFonts w:cs="Times New Roman"/>
              </w:rPr>
              <w:drawing>
                <wp:inline distT="0" distB="0" distL="0" distR="0">
                  <wp:extent cx="1483360" cy="416560"/>
                  <wp:effectExtent l="0" t="0" r="2157" b="0"/>
                  <wp:docPr id="3" name="图片 5" descr="C:\Users\Administrator\AppData\Local\Temp\ksohtml78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Administrator\AppData\Local\Temp\ksohtml7888\wps1.png"/>
                          <pic:cNvPicPr>
                            <a:picLocks noChangeAspect="1" noChangeArrowheads="1"/>
                          </pic:cNvPicPr>
                        </pic:nvPicPr>
                        <pic:blipFill>
                          <a:blip r:embed="rId17" cstate="print"/>
                          <a:srcRect/>
                          <a:stretch>
                            <a:fillRect/>
                          </a:stretch>
                        </pic:blipFill>
                        <pic:spPr>
                          <a:xfrm>
                            <a:off x="0" y="0"/>
                            <a:ext cx="1483620" cy="416807"/>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cs="Times New Roman"/>
                <w:szCs w:val="24"/>
              </w:rPr>
            </w:pPr>
            <w:r>
              <w:rPr>
                <w:rFonts w:cs="Times New Roman"/>
                <w:szCs w:val="24"/>
              </w:rPr>
              <w:t>式中：q—设计暴雨强度，L/ha.s；</w:t>
            </w:r>
          </w:p>
          <w:p>
            <w:pPr>
              <w:adjustRightInd w:val="0"/>
              <w:snapToGrid w:val="0"/>
              <w:spacing w:line="360" w:lineRule="auto"/>
              <w:ind w:firstLine="480" w:firstLineChars="200"/>
              <w:rPr>
                <w:rFonts w:cs="Times New Roman"/>
                <w:szCs w:val="24"/>
              </w:rPr>
            </w:pPr>
            <w:r>
              <w:rPr>
                <w:rFonts w:cs="Times New Roman"/>
                <w:szCs w:val="24"/>
              </w:rPr>
              <w:t xml:space="preserve">      t—降雨历时(min)，本项目取t=15min；</w:t>
            </w:r>
          </w:p>
          <w:p>
            <w:pPr>
              <w:adjustRightInd w:val="0"/>
              <w:snapToGrid w:val="0"/>
              <w:spacing w:line="360" w:lineRule="auto"/>
              <w:ind w:firstLine="480" w:firstLineChars="200"/>
              <w:rPr>
                <w:rFonts w:cs="Times New Roman"/>
                <w:szCs w:val="24"/>
              </w:rPr>
            </w:pPr>
            <w:r>
              <w:rPr>
                <w:rFonts w:cs="Times New Roman"/>
                <w:szCs w:val="24"/>
              </w:rPr>
              <w:t xml:space="preserve">      P—重现期(a)，本项目取P=2年。</w:t>
            </w:r>
          </w:p>
          <w:p>
            <w:pPr>
              <w:adjustRightInd w:val="0"/>
              <w:snapToGrid w:val="0"/>
              <w:spacing w:line="360" w:lineRule="auto"/>
              <w:ind w:firstLine="480" w:firstLineChars="200"/>
              <w:rPr>
                <w:rFonts w:cs="Times New Roman"/>
                <w:szCs w:val="24"/>
              </w:rPr>
            </w:pPr>
            <w:r>
              <w:rPr>
                <w:rFonts w:cs="Times New Roman"/>
                <w:szCs w:val="24"/>
              </w:rPr>
              <w:t>经计算，本项目区域2年内重现期历时15min的降雨强度为237.9L/ha.s。</w:t>
            </w:r>
          </w:p>
          <w:p>
            <w:pPr>
              <w:adjustRightInd w:val="0"/>
              <w:snapToGrid w:val="0"/>
              <w:spacing w:line="360" w:lineRule="auto"/>
              <w:ind w:firstLine="480" w:firstLineChars="200"/>
              <w:rPr>
                <w:rFonts w:cs="Times New Roman"/>
                <w:szCs w:val="24"/>
              </w:rPr>
            </w:pPr>
            <w:r>
              <w:rPr>
                <w:rFonts w:cs="Times New Roman"/>
                <w:szCs w:val="24"/>
              </w:rPr>
              <w:t>根据《室外排水工程规范》（中国建筑工业出版社），雨水设计流量按下列公式计算：</w:t>
            </w:r>
          </w:p>
          <w:p>
            <w:pPr>
              <w:adjustRightInd w:val="0"/>
              <w:snapToGrid w:val="0"/>
              <w:spacing w:line="360" w:lineRule="auto"/>
              <w:jc w:val="center"/>
              <w:rPr>
                <w:rFonts w:cs="Times New Roman"/>
              </w:rPr>
            </w:pPr>
            <w:r>
              <w:rPr>
                <w:rFonts w:cs="Times New Roman"/>
                <w:position w:val="-10"/>
              </w:rPr>
              <w:object>
                <v:shape id="_x0000_i1029" o:spt="75" type="#_x0000_t75" style="height:16.5pt;width:45pt;" o:ole="t" filled="f" o:preferrelative="t" stroked="f" coordsize="21600,21600">
                  <v:path/>
                  <v:fill on="f" focussize="0,0"/>
                  <v:stroke on="f" joinstyle="miter"/>
                  <v:imagedata r:id="rId19" o:title=""/>
                  <o:lock v:ext="edit" aspectratio="t"/>
                  <w10:wrap type="none"/>
                  <w10:anchorlock/>
                </v:shape>
                <o:OLEObject Type="Embed" ProgID="Equation.KSEE3" ShapeID="_x0000_i1029" DrawAspect="Content" ObjectID="_1468075729" r:id="rId18">
                  <o:LockedField>false</o:LockedField>
                </o:OLEObject>
              </w:object>
            </w:r>
          </w:p>
          <w:p>
            <w:pPr>
              <w:adjustRightInd w:val="0"/>
              <w:snapToGrid w:val="0"/>
              <w:spacing w:line="360" w:lineRule="auto"/>
              <w:ind w:firstLine="480" w:firstLineChars="200"/>
              <w:rPr>
                <w:rFonts w:cs="Times New Roman"/>
                <w:szCs w:val="24"/>
              </w:rPr>
            </w:pPr>
            <w:r>
              <w:rPr>
                <w:rFonts w:cs="Times New Roman"/>
                <w:szCs w:val="24"/>
              </w:rPr>
              <w:t>式中：Q — 雨水设计流量（L/s）</w:t>
            </w:r>
          </w:p>
          <w:p>
            <w:pPr>
              <w:adjustRightInd w:val="0"/>
              <w:snapToGrid w:val="0"/>
              <w:spacing w:line="360" w:lineRule="auto"/>
              <w:ind w:firstLine="480" w:firstLineChars="200"/>
              <w:rPr>
                <w:rFonts w:cs="Times New Roman"/>
                <w:szCs w:val="24"/>
              </w:rPr>
            </w:pPr>
            <w:r>
              <w:rPr>
                <w:rFonts w:cs="Times New Roman"/>
                <w:szCs w:val="24"/>
              </w:rPr>
              <w:t xml:space="preserve">      q — 降雨强度（L/s·ha）</w:t>
            </w:r>
          </w:p>
          <w:p>
            <w:pPr>
              <w:adjustRightInd w:val="0"/>
              <w:snapToGrid w:val="0"/>
              <w:spacing w:line="360" w:lineRule="auto"/>
              <w:ind w:firstLine="480" w:firstLineChars="200"/>
              <w:rPr>
                <w:rFonts w:cs="Times New Roman"/>
                <w:szCs w:val="24"/>
              </w:rPr>
            </w:pPr>
            <w:r>
              <w:rPr>
                <w:rFonts w:cs="Times New Roman"/>
                <w:szCs w:val="24"/>
              </w:rPr>
              <w:t xml:space="preserve">      ψ — 径流系数，本项目取0.85。</w:t>
            </w:r>
          </w:p>
          <w:p>
            <w:pPr>
              <w:adjustRightInd w:val="0"/>
              <w:snapToGrid w:val="0"/>
              <w:spacing w:line="360" w:lineRule="auto"/>
              <w:ind w:firstLine="480" w:firstLineChars="200"/>
              <w:rPr>
                <w:rFonts w:cs="Times New Roman"/>
                <w:szCs w:val="24"/>
              </w:rPr>
            </w:pPr>
            <w:r>
              <w:rPr>
                <w:rFonts w:cs="Times New Roman"/>
                <w:szCs w:val="24"/>
              </w:rPr>
              <w:t xml:space="preserve">      A — 汇水面积（ha）</w:t>
            </w:r>
          </w:p>
          <w:p>
            <w:pPr>
              <w:adjustRightInd w:val="0"/>
              <w:snapToGrid w:val="0"/>
              <w:spacing w:line="360" w:lineRule="auto"/>
              <w:ind w:firstLine="480" w:firstLineChars="200"/>
              <w:rPr>
                <w:rFonts w:cs="Times New Roman"/>
                <w:szCs w:val="24"/>
              </w:rPr>
            </w:pPr>
            <w:r>
              <w:rPr>
                <w:rFonts w:cs="Times New Roman"/>
                <w:szCs w:val="24"/>
              </w:rPr>
              <w:t>项目生产区内除绿化面积外，</w:t>
            </w:r>
            <w:r>
              <w:rPr>
                <w:rFonts w:hint="eastAsia" w:cs="Times New Roman"/>
                <w:szCs w:val="24"/>
              </w:rPr>
              <w:t>其他</w:t>
            </w:r>
            <w:r>
              <w:rPr>
                <w:rFonts w:cs="Times New Roman"/>
                <w:szCs w:val="24"/>
              </w:rPr>
              <w:t>占地面积约1.86ha。经计算，项目降雨初期（前15min）雨水量为376.1m</w:t>
            </w:r>
            <w:r>
              <w:rPr>
                <w:rFonts w:cs="Times New Roman"/>
                <w:szCs w:val="24"/>
                <w:vertAlign w:val="superscript"/>
              </w:rPr>
              <w:t>3</w:t>
            </w:r>
            <w:r>
              <w:rPr>
                <w:rFonts w:cs="Times New Roman"/>
                <w:szCs w:val="24"/>
              </w:rPr>
              <w:t>/次，故本项目初期雨水收集池容积设计为380m</w:t>
            </w:r>
            <w:r>
              <w:rPr>
                <w:rFonts w:cs="Times New Roman"/>
                <w:szCs w:val="24"/>
                <w:vertAlign w:val="superscript"/>
              </w:rPr>
              <w:t>3</w:t>
            </w:r>
            <w:r>
              <w:rPr>
                <w:rFonts w:cs="Times New Roman"/>
                <w:szCs w:val="24"/>
              </w:rPr>
              <w:t>。降雨次数按40次/a计，则初期雨水年产生量为15044m</w:t>
            </w:r>
            <w:r>
              <w:rPr>
                <w:rFonts w:cs="Times New Roman"/>
                <w:szCs w:val="24"/>
                <w:vertAlign w:val="superscript"/>
              </w:rPr>
              <w:t>3</w:t>
            </w:r>
            <w:r>
              <w:rPr>
                <w:rFonts w:cs="Times New Roman"/>
                <w:szCs w:val="24"/>
              </w:rPr>
              <w:t>/a。</w:t>
            </w:r>
          </w:p>
          <w:p>
            <w:pPr>
              <w:adjustRightInd w:val="0"/>
              <w:snapToGrid w:val="0"/>
              <w:spacing w:line="360" w:lineRule="auto"/>
              <w:ind w:firstLine="480" w:firstLineChars="200"/>
              <w:rPr>
                <w:rFonts w:cs="Times New Roman"/>
              </w:rPr>
            </w:pPr>
            <w:r>
              <w:rPr>
                <w:rFonts w:cs="Times New Roman"/>
              </w:rPr>
              <w:t>（6）生活废水</w:t>
            </w:r>
          </w:p>
          <w:p>
            <w:pPr>
              <w:pStyle w:val="29"/>
              <w:widowControl w:val="0"/>
              <w:adjustRightInd w:val="0"/>
              <w:snapToGrid w:val="0"/>
              <w:spacing w:before="0" w:beforeAutospacing="0" w:after="0" w:afterAutospacing="0" w:line="360" w:lineRule="auto"/>
              <w:ind w:firstLine="480" w:firstLineChars="200"/>
              <w:jc w:val="both"/>
              <w:rPr>
                <w:rFonts w:ascii="Times New Roman" w:hAnsi="Times New Roman" w:eastAsiaTheme="minorEastAsia"/>
              </w:rPr>
            </w:pPr>
            <w:r>
              <w:rPr>
                <w:rFonts w:ascii="Times New Roman" w:hAnsi="Times New Roman" w:eastAsiaTheme="minorEastAsia"/>
              </w:rPr>
              <w:t>本项目员工有</w:t>
            </w:r>
            <w:r>
              <w:rPr>
                <w:rFonts w:hint="eastAsia" w:ascii="Times New Roman" w:hAnsi="Times New Roman" w:eastAsiaTheme="minorEastAsia"/>
              </w:rPr>
              <w:t>28</w:t>
            </w:r>
            <w:r>
              <w:rPr>
                <w:rFonts w:ascii="Times New Roman" w:hAnsi="Times New Roman" w:eastAsiaTheme="minorEastAsia"/>
              </w:rPr>
              <w:t>人，年生产</w:t>
            </w:r>
            <w:r>
              <w:rPr>
                <w:rFonts w:hint="eastAsia" w:ascii="Times New Roman" w:hAnsi="Times New Roman" w:eastAsiaTheme="minorEastAsia"/>
              </w:rPr>
              <w:t>330</w:t>
            </w:r>
            <w:r>
              <w:rPr>
                <w:rFonts w:ascii="Times New Roman" w:hAnsi="Times New Roman" w:eastAsiaTheme="minorEastAsia"/>
              </w:rPr>
              <w:t>天，根据《湖南省用水定额》（DB43/T388-2014）表28城镇居民用水定额标准，平均用水量按145L/人.d计算，则总用水量为</w:t>
            </w:r>
            <w:r>
              <w:rPr>
                <w:rFonts w:hint="eastAsia" w:ascii="Times New Roman" w:hAnsi="Times New Roman" w:eastAsiaTheme="minorEastAsia"/>
              </w:rPr>
              <w:t>1339</w:t>
            </w:r>
            <w:r>
              <w:rPr>
                <w:rFonts w:ascii="Times New Roman" w:hAnsi="Times New Roman" w:eastAsiaTheme="minorEastAsia"/>
              </w:rPr>
              <w:t>.8m³/a，废水产生按其使用量80%计算，生活废水的排放量约为</w:t>
            </w:r>
            <w:r>
              <w:rPr>
                <w:rFonts w:hint="eastAsia" w:ascii="Times New Roman" w:hAnsi="Times New Roman" w:eastAsiaTheme="minorEastAsia"/>
              </w:rPr>
              <w:t>1071.84</w:t>
            </w:r>
            <w:r>
              <w:rPr>
                <w:rFonts w:ascii="Times New Roman" w:hAnsi="Times New Roman" w:eastAsiaTheme="minorEastAsia"/>
              </w:rPr>
              <w:t>m³/a。生活废水经隔油池及化粪池处理后通过市政管网进入湖南城陵矶临港产业新区污水处理厂处理。生活污水主要污染物为COD、BOD</w:t>
            </w:r>
            <w:r>
              <w:rPr>
                <w:rFonts w:ascii="Times New Roman" w:hAnsi="Times New Roman" w:eastAsiaTheme="minorEastAsia"/>
                <w:vertAlign w:val="subscript"/>
              </w:rPr>
              <w:t>5</w:t>
            </w:r>
            <w:r>
              <w:rPr>
                <w:rFonts w:ascii="Times New Roman" w:hAnsi="Times New Roman" w:eastAsiaTheme="minorEastAsia"/>
              </w:rPr>
              <w:t>、NH</w:t>
            </w:r>
            <w:r>
              <w:rPr>
                <w:rFonts w:ascii="Times New Roman" w:hAnsi="Times New Roman" w:eastAsiaTheme="minorEastAsia"/>
                <w:vertAlign w:val="subscript"/>
              </w:rPr>
              <w:t>3</w:t>
            </w:r>
            <w:r>
              <w:rPr>
                <w:rFonts w:ascii="Times New Roman" w:hAnsi="Times New Roman" w:eastAsiaTheme="minorEastAsia"/>
              </w:rPr>
              <w:t>-N、SS、动植物油，参考相关资料，本项目生活污水污染物排放情况见下表。</w:t>
            </w:r>
          </w:p>
          <w:p>
            <w:pPr>
              <w:pStyle w:val="29"/>
              <w:keepNext/>
              <w:widowControl w:val="0"/>
              <w:adjustRightInd w:val="0"/>
              <w:snapToGrid w:val="0"/>
              <w:spacing w:before="0" w:beforeAutospacing="0" w:after="0" w:afterAutospacing="0"/>
              <w:ind w:firstLine="422" w:firstLineChars="200"/>
              <w:jc w:val="center"/>
              <w:rPr>
                <w:rFonts w:ascii="Times New Roman" w:hAnsi="Times New Roman" w:eastAsiaTheme="minorEastAsia"/>
                <w:b/>
                <w:sz w:val="21"/>
                <w:szCs w:val="21"/>
              </w:rPr>
            </w:pPr>
            <w:r>
              <w:rPr>
                <w:rFonts w:ascii="Times New Roman" w:hAnsi="Times New Roman" w:eastAsiaTheme="minorEastAsia"/>
                <w:b/>
                <w:sz w:val="21"/>
                <w:szCs w:val="21"/>
              </w:rPr>
              <w:t>表</w:t>
            </w:r>
            <w:r>
              <w:rPr>
                <w:rFonts w:ascii="Times New Roman" w:hAnsi="Times New Roman" w:eastAsiaTheme="minorEastAsia"/>
                <w:b/>
                <w:sz w:val="21"/>
                <w:szCs w:val="21"/>
              </w:rPr>
              <w:fldChar w:fldCharType="begin"/>
            </w:r>
            <w:r>
              <w:rPr>
                <w:rFonts w:ascii="Times New Roman" w:hAnsi="Times New Roman" w:eastAsiaTheme="minorEastAsia"/>
                <w:b/>
                <w:sz w:val="21"/>
                <w:szCs w:val="21"/>
              </w:rPr>
              <w:instrText xml:space="preserve"> STYLEREF 2 \s </w:instrText>
            </w:r>
            <w:r>
              <w:rPr>
                <w:rFonts w:ascii="Times New Roman" w:hAnsi="Times New Roman" w:eastAsiaTheme="minorEastAsia"/>
                <w:b/>
                <w:sz w:val="21"/>
                <w:szCs w:val="21"/>
              </w:rPr>
              <w:fldChar w:fldCharType="separate"/>
            </w:r>
            <w:r>
              <w:rPr>
                <w:rFonts w:ascii="Times New Roman" w:hAnsi="Times New Roman" w:eastAsiaTheme="minorEastAsia"/>
                <w:b/>
                <w:sz w:val="21"/>
                <w:szCs w:val="21"/>
              </w:rPr>
              <w:t>5.2</w:t>
            </w:r>
            <w:r>
              <w:rPr>
                <w:rFonts w:ascii="Times New Roman" w:hAnsi="Times New Roman" w:eastAsiaTheme="minorEastAsia"/>
                <w:b/>
                <w:sz w:val="21"/>
                <w:szCs w:val="21"/>
              </w:rPr>
              <w:fldChar w:fldCharType="end"/>
            </w:r>
            <w:r>
              <w:rPr>
                <w:rFonts w:ascii="Times New Roman" w:hAnsi="Times New Roman" w:eastAsiaTheme="minorEastAsia"/>
                <w:b/>
                <w:sz w:val="21"/>
                <w:szCs w:val="21"/>
              </w:rPr>
              <w:noBreakHyphen/>
            </w:r>
            <w:r>
              <w:rPr>
                <w:rFonts w:ascii="Times New Roman" w:hAnsi="Times New Roman" w:eastAsiaTheme="minorEastAsia"/>
                <w:b/>
                <w:sz w:val="21"/>
                <w:szCs w:val="21"/>
              </w:rPr>
              <w:fldChar w:fldCharType="begin"/>
            </w:r>
            <w:r>
              <w:rPr>
                <w:rFonts w:ascii="Times New Roman" w:hAnsi="Times New Roman" w:eastAsiaTheme="minorEastAsia"/>
                <w:b/>
                <w:sz w:val="21"/>
                <w:szCs w:val="21"/>
              </w:rPr>
              <w:instrText xml:space="preserve"> SEQ 表 \* ARABIC \s 2 </w:instrText>
            </w:r>
            <w:r>
              <w:rPr>
                <w:rFonts w:ascii="Times New Roman" w:hAnsi="Times New Roman" w:eastAsiaTheme="minorEastAsia"/>
                <w:b/>
                <w:sz w:val="21"/>
                <w:szCs w:val="21"/>
              </w:rPr>
              <w:fldChar w:fldCharType="separate"/>
            </w:r>
            <w:r>
              <w:rPr>
                <w:rFonts w:ascii="Times New Roman" w:hAnsi="Times New Roman" w:eastAsiaTheme="minorEastAsia"/>
                <w:b/>
                <w:sz w:val="21"/>
                <w:szCs w:val="21"/>
              </w:rPr>
              <w:t>2</w:t>
            </w:r>
            <w:r>
              <w:rPr>
                <w:rFonts w:ascii="Times New Roman" w:hAnsi="Times New Roman" w:eastAsiaTheme="minorEastAsia"/>
                <w:b/>
                <w:sz w:val="21"/>
                <w:szCs w:val="21"/>
              </w:rPr>
              <w:fldChar w:fldCharType="end"/>
            </w:r>
            <w:r>
              <w:rPr>
                <w:rFonts w:ascii="Times New Roman" w:hAnsi="Times New Roman" w:eastAsiaTheme="minorEastAsia"/>
                <w:b/>
                <w:sz w:val="21"/>
                <w:szCs w:val="21"/>
              </w:rPr>
              <w:t xml:space="preserve">  污染物产生及排放情况一览表</w:t>
            </w:r>
          </w:p>
          <w:tbl>
            <w:tblPr>
              <w:tblStyle w:val="33"/>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1065"/>
              <w:gridCol w:w="1584"/>
              <w:gridCol w:w="938"/>
              <w:gridCol w:w="728"/>
              <w:gridCol w:w="864"/>
              <w:gridCol w:w="809"/>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9" w:type="pct"/>
                  <w:gridSpan w:val="3"/>
                  <w:vAlign w:val="center"/>
                </w:tcPr>
                <w:p>
                  <w:pPr>
                    <w:adjustRightInd w:val="0"/>
                    <w:snapToGrid w:val="0"/>
                    <w:jc w:val="center"/>
                    <w:rPr>
                      <w:rFonts w:cs="Times New Roman"/>
                      <w:color w:val="0000FF"/>
                      <w:sz w:val="21"/>
                    </w:rPr>
                  </w:pPr>
                  <w:r>
                    <w:rPr>
                      <w:rFonts w:cs="Times New Roman"/>
                      <w:color w:val="0000FF"/>
                      <w:sz w:val="21"/>
                    </w:rPr>
                    <w:t>废水性质</w:t>
                  </w:r>
                </w:p>
              </w:tc>
              <w:tc>
                <w:tcPr>
                  <w:tcW w:w="568" w:type="pct"/>
                  <w:vAlign w:val="center"/>
                </w:tcPr>
                <w:p>
                  <w:pPr>
                    <w:adjustRightInd w:val="0"/>
                    <w:snapToGrid w:val="0"/>
                    <w:jc w:val="center"/>
                    <w:rPr>
                      <w:rFonts w:cs="Times New Roman"/>
                      <w:color w:val="0000FF"/>
                      <w:sz w:val="21"/>
                    </w:rPr>
                  </w:pPr>
                  <w:r>
                    <w:rPr>
                      <w:rFonts w:cs="Times New Roman"/>
                      <w:color w:val="0000FF"/>
                      <w:sz w:val="21"/>
                    </w:rPr>
                    <w:t>CODcr</w:t>
                  </w:r>
                </w:p>
              </w:tc>
              <w:tc>
                <w:tcPr>
                  <w:tcW w:w="441" w:type="pct"/>
                  <w:vAlign w:val="center"/>
                </w:tcPr>
                <w:p>
                  <w:pPr>
                    <w:adjustRightInd w:val="0"/>
                    <w:snapToGrid w:val="0"/>
                    <w:jc w:val="center"/>
                    <w:rPr>
                      <w:rFonts w:cs="Times New Roman"/>
                      <w:color w:val="0000FF"/>
                      <w:sz w:val="21"/>
                    </w:rPr>
                  </w:pPr>
                  <w:r>
                    <w:rPr>
                      <w:rFonts w:cs="Times New Roman"/>
                      <w:color w:val="0000FF"/>
                      <w:sz w:val="21"/>
                    </w:rPr>
                    <w:t>BOD</w:t>
                  </w:r>
                  <w:r>
                    <w:rPr>
                      <w:rFonts w:cs="Times New Roman"/>
                      <w:color w:val="0000FF"/>
                      <w:sz w:val="21"/>
                      <w:vertAlign w:val="subscript"/>
                    </w:rPr>
                    <w:t>5</w:t>
                  </w:r>
                </w:p>
              </w:tc>
              <w:tc>
                <w:tcPr>
                  <w:tcW w:w="523" w:type="pct"/>
                  <w:vAlign w:val="center"/>
                </w:tcPr>
                <w:p>
                  <w:pPr>
                    <w:adjustRightInd w:val="0"/>
                    <w:snapToGrid w:val="0"/>
                    <w:jc w:val="center"/>
                    <w:rPr>
                      <w:rFonts w:cs="Times New Roman"/>
                      <w:color w:val="0000FF"/>
                      <w:sz w:val="21"/>
                    </w:rPr>
                  </w:pPr>
                  <w:r>
                    <w:rPr>
                      <w:rFonts w:cs="Times New Roman"/>
                      <w:color w:val="0000FF"/>
                      <w:sz w:val="21"/>
                    </w:rPr>
                    <w:t>SS</w:t>
                  </w:r>
                </w:p>
              </w:tc>
              <w:tc>
                <w:tcPr>
                  <w:tcW w:w="490" w:type="pct"/>
                  <w:vAlign w:val="center"/>
                </w:tcPr>
                <w:p>
                  <w:pPr>
                    <w:adjustRightInd w:val="0"/>
                    <w:snapToGrid w:val="0"/>
                    <w:jc w:val="center"/>
                    <w:rPr>
                      <w:rFonts w:cs="Times New Roman"/>
                      <w:color w:val="0000FF"/>
                      <w:sz w:val="21"/>
                    </w:rPr>
                  </w:pPr>
                  <w:r>
                    <w:rPr>
                      <w:rFonts w:cs="Times New Roman"/>
                      <w:color w:val="0000FF"/>
                      <w:sz w:val="21"/>
                    </w:rPr>
                    <w:t>NH</w:t>
                  </w:r>
                  <w:r>
                    <w:rPr>
                      <w:rFonts w:cs="Times New Roman"/>
                      <w:color w:val="0000FF"/>
                      <w:sz w:val="21"/>
                      <w:vertAlign w:val="subscript"/>
                    </w:rPr>
                    <w:t>3</w:t>
                  </w:r>
                  <w:r>
                    <w:rPr>
                      <w:rFonts w:cs="Times New Roman"/>
                      <w:color w:val="0000FF"/>
                      <w:sz w:val="21"/>
                    </w:rPr>
                    <w:t>-N</w:t>
                  </w:r>
                </w:p>
              </w:tc>
              <w:tc>
                <w:tcPr>
                  <w:tcW w:w="586" w:type="pct"/>
                  <w:vAlign w:val="center"/>
                </w:tcPr>
                <w:p>
                  <w:pPr>
                    <w:adjustRightInd w:val="0"/>
                    <w:snapToGrid w:val="0"/>
                    <w:jc w:val="center"/>
                    <w:rPr>
                      <w:rFonts w:cs="Times New Roman"/>
                      <w:color w:val="0000FF"/>
                      <w:sz w:val="21"/>
                    </w:rPr>
                  </w:pPr>
                  <w:r>
                    <w:rPr>
                      <w:rFonts w:cs="Times New Roman"/>
                      <w:color w:val="0000FF"/>
                      <w:sz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vMerge w:val="restart"/>
                  <w:vAlign w:val="center"/>
                </w:tcPr>
                <w:p>
                  <w:pPr>
                    <w:widowControl/>
                    <w:adjustRightInd w:val="0"/>
                    <w:snapToGrid w:val="0"/>
                    <w:jc w:val="center"/>
                    <w:rPr>
                      <w:rFonts w:cs="Times New Roman"/>
                      <w:color w:val="0000FF"/>
                      <w:kern w:val="0"/>
                      <w:sz w:val="21"/>
                    </w:rPr>
                  </w:pPr>
                  <w:r>
                    <w:rPr>
                      <w:rFonts w:cs="Times New Roman"/>
                      <w:color w:val="0000FF"/>
                      <w:kern w:val="0"/>
                      <w:sz w:val="21"/>
                    </w:rPr>
                    <w:t>生活污水</w:t>
                  </w:r>
                </w:p>
                <w:p>
                  <w:pPr>
                    <w:adjustRightInd w:val="0"/>
                    <w:snapToGrid w:val="0"/>
                    <w:jc w:val="center"/>
                    <w:rPr>
                      <w:rFonts w:cs="Times New Roman"/>
                      <w:color w:val="0000FF"/>
                      <w:sz w:val="21"/>
                    </w:rPr>
                  </w:pPr>
                  <w:r>
                    <w:rPr>
                      <w:rFonts w:hint="eastAsia" w:cs="Times New Roman"/>
                      <w:color w:val="0000FF"/>
                      <w:kern w:val="0"/>
                      <w:sz w:val="21"/>
                    </w:rPr>
                    <w:t>1071.84</w:t>
                  </w:r>
                  <w:r>
                    <w:rPr>
                      <w:rFonts w:cs="Times New Roman"/>
                      <w:color w:val="0000FF"/>
                      <w:sz w:val="21"/>
                    </w:rPr>
                    <w:t>m</w:t>
                  </w:r>
                  <w:r>
                    <w:rPr>
                      <w:rFonts w:cs="Times New Roman"/>
                      <w:color w:val="0000FF"/>
                      <w:sz w:val="21"/>
                      <w:vertAlign w:val="superscript"/>
                    </w:rPr>
                    <w:t>3</w:t>
                  </w:r>
                  <w:r>
                    <w:rPr>
                      <w:rFonts w:cs="Times New Roman"/>
                      <w:color w:val="0000FF"/>
                      <w:sz w:val="21"/>
                    </w:rPr>
                    <w:t>/a</w:t>
                  </w:r>
                </w:p>
              </w:tc>
              <w:tc>
                <w:tcPr>
                  <w:tcW w:w="645" w:type="pct"/>
                  <w:vMerge w:val="restart"/>
                  <w:vAlign w:val="center"/>
                </w:tcPr>
                <w:p>
                  <w:pPr>
                    <w:adjustRightInd w:val="0"/>
                    <w:snapToGrid w:val="0"/>
                    <w:jc w:val="center"/>
                    <w:rPr>
                      <w:rFonts w:cs="Times New Roman"/>
                      <w:color w:val="0000FF"/>
                      <w:sz w:val="21"/>
                    </w:rPr>
                  </w:pPr>
                  <w:r>
                    <w:rPr>
                      <w:rFonts w:cs="Times New Roman"/>
                      <w:color w:val="0000FF"/>
                      <w:sz w:val="21"/>
                    </w:rPr>
                    <w:t>处理前</w:t>
                  </w:r>
                </w:p>
              </w:tc>
              <w:tc>
                <w:tcPr>
                  <w:tcW w:w="957" w:type="pct"/>
                  <w:vAlign w:val="center"/>
                </w:tcPr>
                <w:p>
                  <w:pPr>
                    <w:adjustRightInd w:val="0"/>
                    <w:snapToGrid w:val="0"/>
                    <w:jc w:val="center"/>
                    <w:rPr>
                      <w:rFonts w:cs="Times New Roman"/>
                      <w:color w:val="0000FF"/>
                      <w:sz w:val="21"/>
                    </w:rPr>
                  </w:pPr>
                  <w:r>
                    <w:rPr>
                      <w:rFonts w:cs="Times New Roman"/>
                      <w:color w:val="0000FF"/>
                      <w:sz w:val="21"/>
                    </w:rPr>
                    <w:t>产生浓度（mg/L）</w:t>
                  </w:r>
                </w:p>
              </w:tc>
              <w:tc>
                <w:tcPr>
                  <w:tcW w:w="568" w:type="pct"/>
                  <w:vAlign w:val="center"/>
                </w:tcPr>
                <w:p>
                  <w:pPr>
                    <w:adjustRightInd w:val="0"/>
                    <w:snapToGrid w:val="0"/>
                    <w:jc w:val="center"/>
                    <w:rPr>
                      <w:rFonts w:cs="Times New Roman"/>
                      <w:color w:val="0000FF"/>
                      <w:sz w:val="21"/>
                    </w:rPr>
                  </w:pPr>
                  <w:r>
                    <w:rPr>
                      <w:rFonts w:cs="Times New Roman"/>
                      <w:color w:val="0000FF"/>
                      <w:sz w:val="21"/>
                    </w:rPr>
                    <w:t>350</w:t>
                  </w:r>
                </w:p>
              </w:tc>
              <w:tc>
                <w:tcPr>
                  <w:tcW w:w="441" w:type="pct"/>
                  <w:vAlign w:val="center"/>
                </w:tcPr>
                <w:p>
                  <w:pPr>
                    <w:adjustRightInd w:val="0"/>
                    <w:snapToGrid w:val="0"/>
                    <w:jc w:val="center"/>
                    <w:rPr>
                      <w:rFonts w:cs="Times New Roman"/>
                      <w:color w:val="0000FF"/>
                      <w:sz w:val="21"/>
                    </w:rPr>
                  </w:pPr>
                  <w:r>
                    <w:rPr>
                      <w:rFonts w:cs="Times New Roman"/>
                      <w:color w:val="0000FF"/>
                      <w:sz w:val="21"/>
                    </w:rPr>
                    <w:t>200</w:t>
                  </w:r>
                </w:p>
              </w:tc>
              <w:tc>
                <w:tcPr>
                  <w:tcW w:w="523" w:type="pct"/>
                  <w:vAlign w:val="center"/>
                </w:tcPr>
                <w:p>
                  <w:pPr>
                    <w:adjustRightInd w:val="0"/>
                    <w:snapToGrid w:val="0"/>
                    <w:jc w:val="center"/>
                    <w:rPr>
                      <w:rFonts w:cs="Times New Roman"/>
                      <w:color w:val="0000FF"/>
                      <w:sz w:val="21"/>
                    </w:rPr>
                  </w:pPr>
                  <w:r>
                    <w:rPr>
                      <w:rFonts w:cs="Times New Roman"/>
                      <w:color w:val="0000FF"/>
                      <w:sz w:val="21"/>
                    </w:rPr>
                    <w:t>300</w:t>
                  </w:r>
                </w:p>
              </w:tc>
              <w:tc>
                <w:tcPr>
                  <w:tcW w:w="490" w:type="pct"/>
                  <w:vAlign w:val="center"/>
                </w:tcPr>
                <w:p>
                  <w:pPr>
                    <w:adjustRightInd w:val="0"/>
                    <w:snapToGrid w:val="0"/>
                    <w:jc w:val="center"/>
                    <w:rPr>
                      <w:rFonts w:cs="Times New Roman"/>
                      <w:color w:val="0000FF"/>
                      <w:sz w:val="21"/>
                    </w:rPr>
                  </w:pPr>
                  <w:r>
                    <w:rPr>
                      <w:rFonts w:cs="Times New Roman"/>
                      <w:color w:val="0000FF"/>
                      <w:sz w:val="21"/>
                    </w:rPr>
                    <w:t>35</w:t>
                  </w:r>
                </w:p>
              </w:tc>
              <w:tc>
                <w:tcPr>
                  <w:tcW w:w="586" w:type="pct"/>
                  <w:vAlign w:val="center"/>
                </w:tcPr>
                <w:p>
                  <w:pPr>
                    <w:adjustRightInd w:val="0"/>
                    <w:snapToGrid w:val="0"/>
                    <w:jc w:val="center"/>
                    <w:rPr>
                      <w:rFonts w:cs="Times New Roman"/>
                      <w:color w:val="0000FF"/>
                      <w:sz w:val="21"/>
                    </w:rPr>
                  </w:pPr>
                  <w:r>
                    <w:rPr>
                      <w:rFonts w:cs="Times New Roman"/>
                      <w:color w:val="0000FF"/>
                      <w:sz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vMerge w:val="continue"/>
                  <w:vAlign w:val="center"/>
                </w:tcPr>
                <w:p>
                  <w:pPr>
                    <w:widowControl/>
                    <w:adjustRightInd w:val="0"/>
                    <w:snapToGrid w:val="0"/>
                    <w:jc w:val="left"/>
                    <w:rPr>
                      <w:rFonts w:cs="Times New Roman"/>
                      <w:color w:val="0000FF"/>
                      <w:sz w:val="21"/>
                    </w:rPr>
                  </w:pPr>
                </w:p>
              </w:tc>
              <w:tc>
                <w:tcPr>
                  <w:tcW w:w="645" w:type="pct"/>
                  <w:vMerge w:val="continue"/>
                  <w:vAlign w:val="center"/>
                </w:tcPr>
                <w:p>
                  <w:pPr>
                    <w:widowControl/>
                    <w:adjustRightInd w:val="0"/>
                    <w:snapToGrid w:val="0"/>
                    <w:jc w:val="left"/>
                    <w:rPr>
                      <w:rFonts w:cs="Times New Roman"/>
                      <w:color w:val="0000FF"/>
                      <w:sz w:val="21"/>
                    </w:rPr>
                  </w:pPr>
                </w:p>
              </w:tc>
              <w:tc>
                <w:tcPr>
                  <w:tcW w:w="957" w:type="pct"/>
                  <w:vAlign w:val="center"/>
                </w:tcPr>
                <w:p>
                  <w:pPr>
                    <w:adjustRightInd w:val="0"/>
                    <w:snapToGrid w:val="0"/>
                    <w:jc w:val="center"/>
                    <w:rPr>
                      <w:rFonts w:cs="Times New Roman"/>
                      <w:color w:val="0000FF"/>
                      <w:sz w:val="21"/>
                    </w:rPr>
                  </w:pPr>
                  <w:r>
                    <w:rPr>
                      <w:rFonts w:cs="Times New Roman"/>
                      <w:color w:val="0000FF"/>
                      <w:sz w:val="21"/>
                    </w:rPr>
                    <w:t>产生量（t/a）</w:t>
                  </w:r>
                </w:p>
              </w:tc>
              <w:tc>
                <w:tcPr>
                  <w:tcW w:w="568" w:type="pct"/>
                  <w:vAlign w:val="center"/>
                </w:tcPr>
                <w:p>
                  <w:pPr>
                    <w:adjustRightInd w:val="0"/>
                    <w:snapToGrid w:val="0"/>
                    <w:jc w:val="center"/>
                    <w:rPr>
                      <w:rFonts w:cs="Times New Roman"/>
                      <w:color w:val="0000FF"/>
                      <w:sz w:val="21"/>
                    </w:rPr>
                  </w:pPr>
                  <w:r>
                    <w:rPr>
                      <w:rFonts w:hint="eastAsia" w:cs="Times New Roman"/>
                      <w:color w:val="0000FF"/>
                      <w:sz w:val="21"/>
                    </w:rPr>
                    <w:t>0.38</w:t>
                  </w:r>
                </w:p>
              </w:tc>
              <w:tc>
                <w:tcPr>
                  <w:tcW w:w="441" w:type="pct"/>
                  <w:vAlign w:val="center"/>
                </w:tcPr>
                <w:p>
                  <w:pPr>
                    <w:adjustRightInd w:val="0"/>
                    <w:snapToGrid w:val="0"/>
                    <w:jc w:val="center"/>
                    <w:rPr>
                      <w:rFonts w:cs="Times New Roman"/>
                      <w:color w:val="0000FF"/>
                      <w:sz w:val="21"/>
                    </w:rPr>
                  </w:pPr>
                  <w:r>
                    <w:rPr>
                      <w:rFonts w:hint="eastAsia" w:cs="Times New Roman"/>
                      <w:color w:val="0000FF"/>
                      <w:sz w:val="21"/>
                    </w:rPr>
                    <w:t>0.21</w:t>
                  </w:r>
                </w:p>
              </w:tc>
              <w:tc>
                <w:tcPr>
                  <w:tcW w:w="523" w:type="pct"/>
                  <w:vAlign w:val="center"/>
                </w:tcPr>
                <w:p>
                  <w:pPr>
                    <w:adjustRightInd w:val="0"/>
                    <w:snapToGrid w:val="0"/>
                    <w:jc w:val="center"/>
                    <w:rPr>
                      <w:rFonts w:cs="Times New Roman"/>
                      <w:color w:val="0000FF"/>
                      <w:sz w:val="21"/>
                    </w:rPr>
                  </w:pPr>
                  <w:r>
                    <w:rPr>
                      <w:rFonts w:hint="eastAsia" w:cs="Times New Roman"/>
                      <w:color w:val="0000FF"/>
                      <w:sz w:val="21"/>
                    </w:rPr>
                    <w:t>0.32</w:t>
                  </w:r>
                </w:p>
              </w:tc>
              <w:tc>
                <w:tcPr>
                  <w:tcW w:w="490" w:type="pct"/>
                  <w:vAlign w:val="center"/>
                </w:tcPr>
                <w:p>
                  <w:pPr>
                    <w:adjustRightInd w:val="0"/>
                    <w:snapToGrid w:val="0"/>
                    <w:jc w:val="center"/>
                    <w:rPr>
                      <w:rFonts w:cs="Times New Roman"/>
                      <w:color w:val="0000FF"/>
                      <w:sz w:val="21"/>
                    </w:rPr>
                  </w:pPr>
                  <w:r>
                    <w:rPr>
                      <w:rFonts w:hint="eastAsia" w:cs="Times New Roman"/>
                      <w:color w:val="0000FF"/>
                      <w:sz w:val="21"/>
                    </w:rPr>
                    <w:t>0.037</w:t>
                  </w:r>
                </w:p>
              </w:tc>
              <w:tc>
                <w:tcPr>
                  <w:tcW w:w="586" w:type="pct"/>
                  <w:vAlign w:val="center"/>
                </w:tcPr>
                <w:p>
                  <w:pPr>
                    <w:adjustRightInd w:val="0"/>
                    <w:snapToGrid w:val="0"/>
                    <w:jc w:val="center"/>
                    <w:rPr>
                      <w:rFonts w:cs="Times New Roman"/>
                      <w:color w:val="0000FF"/>
                      <w:sz w:val="21"/>
                    </w:rPr>
                  </w:pPr>
                  <w:r>
                    <w:rPr>
                      <w:rFonts w:hint="eastAsia" w:cs="Times New Roman"/>
                      <w:color w:val="0000FF"/>
                      <w:sz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vMerge w:val="continue"/>
                  <w:vAlign w:val="center"/>
                </w:tcPr>
                <w:p>
                  <w:pPr>
                    <w:widowControl/>
                    <w:adjustRightInd w:val="0"/>
                    <w:snapToGrid w:val="0"/>
                    <w:jc w:val="left"/>
                    <w:rPr>
                      <w:rFonts w:cs="Times New Roman"/>
                      <w:color w:val="0000FF"/>
                      <w:sz w:val="21"/>
                    </w:rPr>
                  </w:pPr>
                </w:p>
              </w:tc>
              <w:tc>
                <w:tcPr>
                  <w:tcW w:w="645" w:type="pct"/>
                  <w:vMerge w:val="restart"/>
                  <w:vAlign w:val="center"/>
                </w:tcPr>
                <w:p>
                  <w:pPr>
                    <w:adjustRightInd w:val="0"/>
                    <w:snapToGrid w:val="0"/>
                    <w:jc w:val="center"/>
                    <w:rPr>
                      <w:rFonts w:cs="Times New Roman"/>
                      <w:color w:val="0000FF"/>
                      <w:sz w:val="21"/>
                    </w:rPr>
                  </w:pPr>
                  <w:r>
                    <w:rPr>
                      <w:rFonts w:cs="Times New Roman"/>
                      <w:color w:val="0000FF"/>
                      <w:sz w:val="21"/>
                    </w:rPr>
                    <w:t>化粪池处理后</w:t>
                  </w:r>
                </w:p>
              </w:tc>
              <w:tc>
                <w:tcPr>
                  <w:tcW w:w="957" w:type="pct"/>
                  <w:vAlign w:val="center"/>
                </w:tcPr>
                <w:p>
                  <w:pPr>
                    <w:adjustRightInd w:val="0"/>
                    <w:snapToGrid w:val="0"/>
                    <w:jc w:val="center"/>
                    <w:rPr>
                      <w:rFonts w:cs="Times New Roman"/>
                      <w:color w:val="0000FF"/>
                      <w:sz w:val="21"/>
                    </w:rPr>
                  </w:pPr>
                  <w:r>
                    <w:rPr>
                      <w:rFonts w:cs="Times New Roman"/>
                      <w:color w:val="0000FF"/>
                      <w:sz w:val="21"/>
                    </w:rPr>
                    <w:t>排放浓度（mg/L）</w:t>
                  </w:r>
                </w:p>
              </w:tc>
              <w:tc>
                <w:tcPr>
                  <w:tcW w:w="568" w:type="pct"/>
                  <w:vAlign w:val="center"/>
                </w:tcPr>
                <w:p>
                  <w:pPr>
                    <w:adjustRightInd w:val="0"/>
                    <w:snapToGrid w:val="0"/>
                    <w:jc w:val="center"/>
                    <w:rPr>
                      <w:rFonts w:cs="Times New Roman"/>
                      <w:color w:val="0000FF"/>
                      <w:sz w:val="21"/>
                    </w:rPr>
                  </w:pPr>
                  <w:r>
                    <w:rPr>
                      <w:rFonts w:cs="Times New Roman"/>
                      <w:color w:val="0000FF"/>
                      <w:sz w:val="21"/>
                    </w:rPr>
                    <w:t>300</w:t>
                  </w:r>
                </w:p>
              </w:tc>
              <w:tc>
                <w:tcPr>
                  <w:tcW w:w="441" w:type="pct"/>
                  <w:vAlign w:val="center"/>
                </w:tcPr>
                <w:p>
                  <w:pPr>
                    <w:adjustRightInd w:val="0"/>
                    <w:snapToGrid w:val="0"/>
                    <w:jc w:val="center"/>
                    <w:rPr>
                      <w:rFonts w:cs="Times New Roman"/>
                      <w:color w:val="0000FF"/>
                      <w:sz w:val="21"/>
                    </w:rPr>
                  </w:pPr>
                  <w:r>
                    <w:rPr>
                      <w:rFonts w:cs="Times New Roman"/>
                      <w:color w:val="0000FF"/>
                      <w:sz w:val="21"/>
                    </w:rPr>
                    <w:t>150</w:t>
                  </w:r>
                </w:p>
              </w:tc>
              <w:tc>
                <w:tcPr>
                  <w:tcW w:w="523" w:type="pct"/>
                  <w:vAlign w:val="center"/>
                </w:tcPr>
                <w:p>
                  <w:pPr>
                    <w:adjustRightInd w:val="0"/>
                    <w:snapToGrid w:val="0"/>
                    <w:jc w:val="center"/>
                    <w:rPr>
                      <w:rFonts w:cs="Times New Roman"/>
                      <w:color w:val="0000FF"/>
                      <w:sz w:val="21"/>
                    </w:rPr>
                  </w:pPr>
                  <w:r>
                    <w:rPr>
                      <w:rFonts w:cs="Times New Roman"/>
                      <w:color w:val="0000FF"/>
                      <w:sz w:val="21"/>
                    </w:rPr>
                    <w:t>150</w:t>
                  </w:r>
                </w:p>
              </w:tc>
              <w:tc>
                <w:tcPr>
                  <w:tcW w:w="490" w:type="pct"/>
                  <w:vAlign w:val="center"/>
                </w:tcPr>
                <w:p>
                  <w:pPr>
                    <w:adjustRightInd w:val="0"/>
                    <w:snapToGrid w:val="0"/>
                    <w:jc w:val="center"/>
                    <w:rPr>
                      <w:rFonts w:cs="Times New Roman"/>
                      <w:color w:val="0000FF"/>
                      <w:sz w:val="21"/>
                    </w:rPr>
                  </w:pPr>
                  <w:r>
                    <w:rPr>
                      <w:rFonts w:cs="Times New Roman"/>
                      <w:color w:val="0000FF"/>
                      <w:sz w:val="21"/>
                    </w:rPr>
                    <w:t>30</w:t>
                  </w:r>
                </w:p>
              </w:tc>
              <w:tc>
                <w:tcPr>
                  <w:tcW w:w="586" w:type="pct"/>
                  <w:vAlign w:val="center"/>
                </w:tcPr>
                <w:p>
                  <w:pPr>
                    <w:adjustRightInd w:val="0"/>
                    <w:snapToGrid w:val="0"/>
                    <w:jc w:val="center"/>
                    <w:rPr>
                      <w:rFonts w:cs="Times New Roman"/>
                      <w:color w:val="0000FF"/>
                      <w:sz w:val="21"/>
                    </w:rPr>
                  </w:pPr>
                  <w:r>
                    <w:rPr>
                      <w:rFonts w:cs="Times New Roman"/>
                      <w:color w:val="0000FF"/>
                      <w:sz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5" w:type="pct"/>
                  <w:vMerge w:val="continue"/>
                  <w:vAlign w:val="center"/>
                </w:tcPr>
                <w:p>
                  <w:pPr>
                    <w:widowControl/>
                    <w:adjustRightInd w:val="0"/>
                    <w:snapToGrid w:val="0"/>
                    <w:jc w:val="left"/>
                    <w:rPr>
                      <w:rFonts w:cs="Times New Roman"/>
                      <w:color w:val="0000FF"/>
                      <w:sz w:val="21"/>
                    </w:rPr>
                  </w:pPr>
                </w:p>
              </w:tc>
              <w:tc>
                <w:tcPr>
                  <w:tcW w:w="645" w:type="pct"/>
                  <w:vMerge w:val="continue"/>
                  <w:vAlign w:val="center"/>
                </w:tcPr>
                <w:p>
                  <w:pPr>
                    <w:widowControl/>
                    <w:adjustRightInd w:val="0"/>
                    <w:snapToGrid w:val="0"/>
                    <w:jc w:val="left"/>
                    <w:rPr>
                      <w:rFonts w:cs="Times New Roman"/>
                      <w:color w:val="0000FF"/>
                      <w:sz w:val="21"/>
                    </w:rPr>
                  </w:pPr>
                </w:p>
              </w:tc>
              <w:tc>
                <w:tcPr>
                  <w:tcW w:w="957" w:type="pct"/>
                  <w:vAlign w:val="center"/>
                </w:tcPr>
                <w:p>
                  <w:pPr>
                    <w:adjustRightInd w:val="0"/>
                    <w:snapToGrid w:val="0"/>
                    <w:jc w:val="center"/>
                    <w:rPr>
                      <w:rFonts w:cs="Times New Roman"/>
                      <w:color w:val="0000FF"/>
                      <w:sz w:val="21"/>
                    </w:rPr>
                  </w:pPr>
                  <w:r>
                    <w:rPr>
                      <w:rFonts w:cs="Times New Roman"/>
                      <w:color w:val="0000FF"/>
                      <w:sz w:val="21"/>
                    </w:rPr>
                    <w:t>排放量（t/a）</w:t>
                  </w:r>
                </w:p>
              </w:tc>
              <w:tc>
                <w:tcPr>
                  <w:tcW w:w="568" w:type="pct"/>
                  <w:vAlign w:val="center"/>
                </w:tcPr>
                <w:p>
                  <w:pPr>
                    <w:adjustRightInd w:val="0"/>
                    <w:snapToGrid w:val="0"/>
                    <w:jc w:val="center"/>
                    <w:rPr>
                      <w:rFonts w:cs="Times New Roman"/>
                      <w:color w:val="0000FF"/>
                      <w:sz w:val="21"/>
                    </w:rPr>
                  </w:pPr>
                  <w:r>
                    <w:rPr>
                      <w:rFonts w:hint="eastAsia" w:cs="Times New Roman"/>
                      <w:color w:val="0000FF"/>
                      <w:sz w:val="21"/>
                    </w:rPr>
                    <w:t>0.32</w:t>
                  </w:r>
                </w:p>
              </w:tc>
              <w:tc>
                <w:tcPr>
                  <w:tcW w:w="441" w:type="pct"/>
                  <w:vAlign w:val="center"/>
                </w:tcPr>
                <w:p>
                  <w:pPr>
                    <w:adjustRightInd w:val="0"/>
                    <w:snapToGrid w:val="0"/>
                    <w:jc w:val="center"/>
                    <w:rPr>
                      <w:rFonts w:cs="Times New Roman"/>
                      <w:color w:val="0000FF"/>
                      <w:sz w:val="21"/>
                    </w:rPr>
                  </w:pPr>
                  <w:r>
                    <w:rPr>
                      <w:rFonts w:hint="eastAsia" w:cs="Times New Roman"/>
                      <w:color w:val="0000FF"/>
                      <w:sz w:val="21"/>
                    </w:rPr>
                    <w:t>0.16</w:t>
                  </w:r>
                </w:p>
              </w:tc>
              <w:tc>
                <w:tcPr>
                  <w:tcW w:w="523" w:type="pct"/>
                  <w:vAlign w:val="center"/>
                </w:tcPr>
                <w:p>
                  <w:pPr>
                    <w:adjustRightInd w:val="0"/>
                    <w:snapToGrid w:val="0"/>
                    <w:jc w:val="center"/>
                    <w:rPr>
                      <w:rFonts w:cs="Times New Roman"/>
                      <w:color w:val="0000FF"/>
                      <w:sz w:val="21"/>
                    </w:rPr>
                  </w:pPr>
                  <w:r>
                    <w:rPr>
                      <w:rFonts w:hint="eastAsia" w:cs="Times New Roman"/>
                      <w:color w:val="0000FF"/>
                      <w:sz w:val="21"/>
                    </w:rPr>
                    <w:t>0.16</w:t>
                  </w:r>
                </w:p>
              </w:tc>
              <w:tc>
                <w:tcPr>
                  <w:tcW w:w="490" w:type="pct"/>
                  <w:vAlign w:val="center"/>
                </w:tcPr>
                <w:p>
                  <w:pPr>
                    <w:adjustRightInd w:val="0"/>
                    <w:snapToGrid w:val="0"/>
                    <w:jc w:val="center"/>
                    <w:rPr>
                      <w:rFonts w:cs="Times New Roman"/>
                      <w:color w:val="0000FF"/>
                      <w:sz w:val="21"/>
                    </w:rPr>
                  </w:pPr>
                  <w:r>
                    <w:rPr>
                      <w:rFonts w:hint="eastAsia" w:cs="Times New Roman"/>
                      <w:color w:val="0000FF"/>
                      <w:sz w:val="21"/>
                    </w:rPr>
                    <w:t>0.03</w:t>
                  </w:r>
                </w:p>
              </w:tc>
              <w:tc>
                <w:tcPr>
                  <w:tcW w:w="586" w:type="pct"/>
                  <w:vAlign w:val="center"/>
                </w:tcPr>
                <w:p>
                  <w:pPr>
                    <w:adjustRightInd w:val="0"/>
                    <w:snapToGrid w:val="0"/>
                    <w:jc w:val="center"/>
                    <w:rPr>
                      <w:rFonts w:cs="Times New Roman"/>
                      <w:color w:val="0000FF"/>
                      <w:sz w:val="21"/>
                    </w:rPr>
                  </w:pPr>
                  <w:r>
                    <w:rPr>
                      <w:rFonts w:hint="eastAsia" w:cs="Times New Roman"/>
                      <w:color w:val="0000FF"/>
                      <w:sz w:val="21"/>
                    </w:rPr>
                    <w:t>0.02</w:t>
                  </w:r>
                </w:p>
              </w:tc>
            </w:tr>
          </w:tbl>
          <w:p>
            <w:pPr>
              <w:pStyle w:val="8"/>
            </w:pPr>
            <w:r>
              <w:t>大气污染源</w:t>
            </w:r>
          </w:p>
          <w:p>
            <w:pPr>
              <w:adjustRightInd w:val="0"/>
              <w:snapToGrid w:val="0"/>
              <w:spacing w:line="360" w:lineRule="auto"/>
              <w:ind w:firstLine="480" w:firstLineChars="200"/>
              <w:rPr>
                <w:rFonts w:cs="Times New Roman"/>
              </w:rPr>
            </w:pPr>
            <w:r>
              <w:rPr>
                <w:rFonts w:cs="Times New Roman"/>
              </w:rPr>
              <w:t>1、有组织废气</w:t>
            </w:r>
          </w:p>
          <w:p>
            <w:pPr>
              <w:adjustRightInd w:val="0"/>
              <w:snapToGrid w:val="0"/>
              <w:spacing w:line="360" w:lineRule="auto"/>
              <w:ind w:firstLine="480" w:firstLineChars="200"/>
              <w:rPr>
                <w:rFonts w:cs="Times New Roman"/>
                <w:szCs w:val="24"/>
              </w:rPr>
            </w:pPr>
            <w:r>
              <w:rPr>
                <w:rFonts w:cs="Times New Roman"/>
              </w:rPr>
              <w:t>本项目设有2条环保混凝土生产线，共设置</w:t>
            </w:r>
            <w:r>
              <w:rPr>
                <w:rFonts w:cs="Times New Roman"/>
                <w:szCs w:val="24"/>
              </w:rPr>
              <w:t>4个为水泥料罐，2个粉煤灰罐，2个矿粉罐，2个膨胀剂罐，生产线整个原料输送及搅拌过程全密闭。</w:t>
            </w:r>
          </w:p>
          <w:p>
            <w:pPr>
              <w:adjustRightInd w:val="0"/>
              <w:snapToGrid w:val="0"/>
              <w:spacing w:line="360" w:lineRule="auto"/>
              <w:ind w:firstLine="480" w:firstLineChars="200"/>
              <w:rPr>
                <w:rFonts w:cs="Times New Roman"/>
              </w:rPr>
            </w:pPr>
            <w:r>
              <w:rPr>
                <w:rFonts w:cs="Times New Roman"/>
              </w:rPr>
              <w:t>（1）搅拌工序产生的搅拌粉尘</w:t>
            </w:r>
          </w:p>
          <w:p>
            <w:pPr>
              <w:adjustRightInd w:val="0"/>
              <w:snapToGrid w:val="0"/>
              <w:spacing w:line="360" w:lineRule="auto"/>
              <w:ind w:firstLine="480" w:firstLineChars="200"/>
              <w:rPr>
                <w:rFonts w:cs="Times New Roman"/>
                <w:color w:val="0000FF"/>
              </w:rPr>
            </w:pPr>
            <w:r>
              <w:rPr>
                <w:rFonts w:cs="Times New Roman"/>
                <w:color w:val="0000FF"/>
              </w:rPr>
              <w:t>本项目共设有2条生产线，每条生产线有一个搅拌主楼，每个主楼顶部均设有1台脉冲除尘器，搅拌粉尘经脉冲除尘器处理后通过30m高的排气筒排放。</w:t>
            </w:r>
          </w:p>
          <w:p>
            <w:pPr>
              <w:pStyle w:val="147"/>
              <w:adjustRightInd w:val="0"/>
              <w:snapToGrid w:val="0"/>
              <w:spacing w:line="360" w:lineRule="auto"/>
              <w:ind w:firstLine="480" w:firstLineChars="200"/>
              <w:rPr>
                <w:rFonts w:eastAsiaTheme="minorEastAsia"/>
                <w:color w:val="0000FF"/>
                <w:szCs w:val="24"/>
              </w:rPr>
            </w:pPr>
            <w:r>
              <w:rPr>
                <w:rFonts w:eastAsiaTheme="minorEastAsia"/>
                <w:color w:val="0000FF"/>
                <w:sz w:val="24"/>
              </w:rPr>
              <w:t>搅拌机在搅拌过程中需加水搅拌，基本不产生粉尘，所以搅拌工序产生的粉尘主要为骨料送入搅拌主机时产生的粉尘。根据建设单位提供的资料及参考《逸散性粉尘控制技术</w:t>
            </w:r>
            <w:r>
              <w:rPr>
                <w:rFonts w:eastAsiaTheme="minorEastAsia"/>
                <w:color w:val="0000FF"/>
              </w:rPr>
              <w:t>》</w:t>
            </w:r>
            <w:r>
              <w:rPr>
                <w:rFonts w:eastAsiaTheme="minorEastAsia"/>
                <w:color w:val="0000FF"/>
                <w:sz w:val="24"/>
                <w:szCs w:val="24"/>
              </w:rPr>
              <w:t>中“表2</w:t>
            </w:r>
            <w:r>
              <w:rPr>
                <w:rFonts w:hint="eastAsia" w:eastAsiaTheme="minorEastAsia"/>
                <w:color w:val="0000FF"/>
                <w:sz w:val="24"/>
                <w:szCs w:val="24"/>
                <w:lang w:val="en-US" w:eastAsia="zh-CN"/>
              </w:rPr>
              <w:t>.</w:t>
            </w:r>
            <w:r>
              <w:rPr>
                <w:rFonts w:eastAsiaTheme="minorEastAsia"/>
                <w:color w:val="0000FF"/>
                <w:sz w:val="24"/>
                <w:szCs w:val="24"/>
              </w:rPr>
              <w:t>2-1混凝土分批搅拌厂的散逸尘排放因子”中“装水泥、粒料入搅拌机”产污系数0.02kg/t。本生产线年需水泥</w:t>
            </w:r>
            <w:r>
              <w:rPr>
                <w:rFonts w:hint="eastAsia" w:eastAsiaTheme="minorEastAsia"/>
                <w:color w:val="0000FF"/>
                <w:sz w:val="24"/>
                <w:szCs w:val="24"/>
                <w:lang w:val="en-US" w:eastAsia="zh-CN"/>
              </w:rPr>
              <w:t>22.5</w:t>
            </w:r>
            <w:r>
              <w:rPr>
                <w:rFonts w:eastAsiaTheme="minorEastAsia"/>
                <w:color w:val="0000FF"/>
                <w:sz w:val="24"/>
                <w:szCs w:val="24"/>
              </w:rPr>
              <w:t>万t，砂子</w:t>
            </w:r>
            <w:r>
              <w:rPr>
                <w:rFonts w:hint="eastAsia" w:eastAsiaTheme="minorEastAsia"/>
                <w:color w:val="0000FF"/>
                <w:sz w:val="24"/>
                <w:szCs w:val="24"/>
                <w:lang w:val="en-US" w:eastAsia="zh-CN"/>
              </w:rPr>
              <w:t>90</w:t>
            </w:r>
            <w:r>
              <w:rPr>
                <w:rFonts w:eastAsiaTheme="minorEastAsia"/>
                <w:color w:val="0000FF"/>
                <w:sz w:val="24"/>
                <w:szCs w:val="24"/>
              </w:rPr>
              <w:t>万t、碎石</w:t>
            </w:r>
            <w:r>
              <w:rPr>
                <w:rFonts w:hint="eastAsia" w:eastAsiaTheme="minorEastAsia"/>
                <w:color w:val="0000FF"/>
                <w:sz w:val="24"/>
                <w:szCs w:val="24"/>
                <w:lang w:val="en-US" w:eastAsia="zh-CN"/>
              </w:rPr>
              <w:t>81</w:t>
            </w:r>
            <w:r>
              <w:rPr>
                <w:rFonts w:eastAsiaTheme="minorEastAsia"/>
                <w:color w:val="0000FF"/>
                <w:sz w:val="24"/>
                <w:szCs w:val="24"/>
              </w:rPr>
              <w:t>万t、粉煤灰</w:t>
            </w:r>
            <w:r>
              <w:rPr>
                <w:rFonts w:hint="eastAsia" w:eastAsiaTheme="minorEastAsia"/>
                <w:color w:val="0000FF"/>
                <w:sz w:val="24"/>
                <w:szCs w:val="24"/>
                <w:lang w:val="en-US" w:eastAsia="zh-CN"/>
              </w:rPr>
              <w:t>4.5</w:t>
            </w:r>
            <w:r>
              <w:rPr>
                <w:rFonts w:eastAsiaTheme="minorEastAsia"/>
                <w:color w:val="0000FF"/>
                <w:sz w:val="24"/>
                <w:szCs w:val="24"/>
              </w:rPr>
              <w:t>万t</w:t>
            </w:r>
            <w:r>
              <w:rPr>
                <w:rFonts w:hint="eastAsia" w:eastAsiaTheme="minorEastAsia"/>
                <w:color w:val="0000FF"/>
                <w:sz w:val="24"/>
                <w:szCs w:val="24"/>
                <w:lang w:eastAsia="zh-CN"/>
              </w:rPr>
              <w:t>、矿粉</w:t>
            </w:r>
            <w:r>
              <w:rPr>
                <w:rFonts w:hint="eastAsia" w:eastAsiaTheme="minorEastAsia"/>
                <w:color w:val="0000FF"/>
                <w:sz w:val="24"/>
                <w:szCs w:val="24"/>
                <w:lang w:val="en-US" w:eastAsia="zh-CN"/>
              </w:rPr>
              <w:t>4.5万t</w:t>
            </w:r>
            <w:r>
              <w:rPr>
                <w:rFonts w:eastAsiaTheme="minorEastAsia"/>
                <w:color w:val="0000FF"/>
                <w:sz w:val="24"/>
                <w:szCs w:val="24"/>
              </w:rPr>
              <w:t>，共</w:t>
            </w:r>
            <w:r>
              <w:rPr>
                <w:rFonts w:hint="eastAsia" w:eastAsiaTheme="minorEastAsia"/>
                <w:color w:val="0000FF"/>
                <w:sz w:val="24"/>
                <w:szCs w:val="24"/>
                <w:lang w:val="en-US" w:eastAsia="zh-CN"/>
              </w:rPr>
              <w:t>202.5</w:t>
            </w:r>
            <w:r>
              <w:rPr>
                <w:rFonts w:eastAsiaTheme="minorEastAsia"/>
                <w:color w:val="0000FF"/>
                <w:sz w:val="24"/>
                <w:szCs w:val="24"/>
              </w:rPr>
              <w:t>万t/a，年工作2000小时，则搅拌粉尘产生量为</w:t>
            </w:r>
            <w:r>
              <w:rPr>
                <w:rFonts w:hint="eastAsia" w:eastAsiaTheme="minorEastAsia"/>
                <w:color w:val="0000FF"/>
                <w:sz w:val="24"/>
                <w:szCs w:val="24"/>
                <w:lang w:val="en-US" w:eastAsia="zh-CN"/>
              </w:rPr>
              <w:t>40.5</w:t>
            </w:r>
            <w:r>
              <w:rPr>
                <w:rFonts w:eastAsiaTheme="minorEastAsia"/>
                <w:color w:val="0000FF"/>
                <w:sz w:val="24"/>
                <w:szCs w:val="24"/>
              </w:rPr>
              <w:t>t/a（</w:t>
            </w:r>
            <w:r>
              <w:rPr>
                <w:rFonts w:hint="eastAsia" w:eastAsiaTheme="minorEastAsia"/>
                <w:color w:val="0000FF"/>
                <w:sz w:val="24"/>
                <w:szCs w:val="24"/>
                <w:lang w:val="en-US" w:eastAsia="zh-CN"/>
              </w:rPr>
              <w:t>20.25</w:t>
            </w:r>
            <w:r>
              <w:rPr>
                <w:rFonts w:eastAsiaTheme="minorEastAsia"/>
                <w:color w:val="0000FF"/>
                <w:sz w:val="24"/>
                <w:szCs w:val="24"/>
              </w:rPr>
              <w:t>kg/h），每个搅拌楼顶部各设置一套脉冲除尘器，除尘效率约达99.9%，风机风量为20000m</w:t>
            </w:r>
            <w:r>
              <w:rPr>
                <w:rFonts w:eastAsiaTheme="minorEastAsia"/>
                <w:color w:val="0000FF"/>
                <w:sz w:val="24"/>
                <w:szCs w:val="24"/>
                <w:vertAlign w:val="superscript"/>
              </w:rPr>
              <w:t>3</w:t>
            </w:r>
            <w:r>
              <w:rPr>
                <w:rFonts w:eastAsiaTheme="minorEastAsia"/>
                <w:color w:val="0000FF"/>
                <w:sz w:val="24"/>
                <w:szCs w:val="24"/>
              </w:rPr>
              <w:t>/h。则搅拌站粉尘的排放量为0.</w:t>
            </w:r>
            <w:r>
              <w:rPr>
                <w:rFonts w:hint="eastAsia" w:eastAsiaTheme="minorEastAsia"/>
                <w:color w:val="0000FF"/>
                <w:sz w:val="24"/>
                <w:szCs w:val="24"/>
                <w:lang w:val="en-US" w:eastAsia="zh-CN"/>
              </w:rPr>
              <w:t>04</w:t>
            </w:r>
            <w:r>
              <w:rPr>
                <w:rFonts w:eastAsiaTheme="minorEastAsia"/>
                <w:color w:val="0000FF"/>
                <w:sz w:val="24"/>
                <w:szCs w:val="24"/>
              </w:rPr>
              <w:t>t/a，排放速率为0.0</w:t>
            </w:r>
            <w:r>
              <w:rPr>
                <w:rFonts w:hint="eastAsia" w:eastAsiaTheme="minorEastAsia"/>
                <w:color w:val="0000FF"/>
                <w:sz w:val="24"/>
                <w:szCs w:val="24"/>
                <w:lang w:val="en-US" w:eastAsia="zh-CN"/>
              </w:rPr>
              <w:t>2</w:t>
            </w:r>
            <w:r>
              <w:rPr>
                <w:rFonts w:eastAsiaTheme="minorEastAsia"/>
                <w:color w:val="0000FF"/>
                <w:sz w:val="24"/>
                <w:szCs w:val="24"/>
              </w:rPr>
              <w:t>kg/h，排放浓度为：</w:t>
            </w:r>
            <w:r>
              <w:rPr>
                <w:rFonts w:hint="eastAsia" w:eastAsiaTheme="minorEastAsia"/>
                <w:color w:val="0000FF"/>
                <w:sz w:val="24"/>
                <w:szCs w:val="24"/>
                <w:lang w:val="en-US" w:eastAsia="zh-CN"/>
              </w:rPr>
              <w:t>1</w:t>
            </w:r>
            <w:r>
              <w:rPr>
                <w:rFonts w:eastAsiaTheme="minorEastAsia"/>
                <w:color w:val="0000FF"/>
                <w:sz w:val="24"/>
                <w:szCs w:val="24"/>
              </w:rPr>
              <w:t>mg/m</w:t>
            </w:r>
            <w:r>
              <w:rPr>
                <w:rFonts w:eastAsiaTheme="minorEastAsia"/>
                <w:color w:val="0000FF"/>
                <w:sz w:val="24"/>
                <w:szCs w:val="24"/>
                <w:vertAlign w:val="superscript"/>
              </w:rPr>
              <w:t>3</w:t>
            </w:r>
            <w:r>
              <w:rPr>
                <w:rFonts w:eastAsiaTheme="minorEastAsia"/>
                <w:color w:val="0000FF"/>
                <w:sz w:val="24"/>
                <w:szCs w:val="24"/>
              </w:rPr>
              <w:t>。</w:t>
            </w:r>
          </w:p>
          <w:p>
            <w:pPr>
              <w:pStyle w:val="147"/>
              <w:adjustRightInd w:val="0"/>
              <w:snapToGrid w:val="0"/>
              <w:spacing w:line="360" w:lineRule="auto"/>
              <w:ind w:firstLine="480" w:firstLineChars="200"/>
              <w:rPr>
                <w:rFonts w:eastAsiaTheme="minorEastAsia"/>
                <w:sz w:val="24"/>
                <w:szCs w:val="24"/>
              </w:rPr>
            </w:pPr>
            <w:r>
              <w:rPr>
                <w:rFonts w:eastAsiaTheme="minorEastAsia"/>
                <w:sz w:val="24"/>
                <w:szCs w:val="24"/>
              </w:rPr>
              <w:t>2、无组织废气</w:t>
            </w:r>
          </w:p>
          <w:p>
            <w:pPr>
              <w:adjustRightInd w:val="0"/>
              <w:snapToGrid w:val="0"/>
              <w:spacing w:line="360" w:lineRule="auto"/>
              <w:ind w:firstLine="480" w:firstLineChars="200"/>
              <w:rPr>
                <w:rFonts w:cs="Times New Roman"/>
              </w:rPr>
            </w:pPr>
            <w:r>
              <w:rPr>
                <w:rFonts w:cs="Times New Roman"/>
              </w:rPr>
              <w:t>（1）原料筒仓粉尘</w:t>
            </w:r>
          </w:p>
          <w:p>
            <w:pPr>
              <w:adjustRightInd w:val="0"/>
              <w:snapToGrid w:val="0"/>
              <w:spacing w:line="360" w:lineRule="auto"/>
              <w:ind w:firstLine="480" w:firstLineChars="200"/>
              <w:rPr>
                <w:rFonts w:cs="Times New Roman"/>
                <w:color w:val="0000FF"/>
              </w:rPr>
            </w:pPr>
            <w:r>
              <w:rPr>
                <w:rFonts w:cs="Times New Roman"/>
                <w:color w:val="0000FF"/>
              </w:rPr>
              <w:t>预拌混凝土生产线共设有</w:t>
            </w:r>
            <w:r>
              <w:rPr>
                <w:rFonts w:cs="Times New Roman"/>
                <w:color w:val="0000FF"/>
                <w:szCs w:val="24"/>
              </w:rPr>
              <w:t>4个为水泥筒仓，2个粉煤灰筒仓，2个矿粉筒仓</w:t>
            </w:r>
            <w:r>
              <w:rPr>
                <w:rFonts w:cs="Times New Roman"/>
                <w:color w:val="0000FF"/>
              </w:rPr>
              <w:t>。水泥筒仓、粉煤灰筒仓、矿粉筒仓顶部均设有1台脉冲除尘器，筒仓呼吸粉尘经脉冲除尘器处理后，</w:t>
            </w:r>
            <w:r>
              <w:rPr>
                <w:rFonts w:hint="eastAsia" w:cs="Times New Roman"/>
                <w:color w:val="0000FF"/>
              </w:rPr>
              <w:t>通过筒仓仓顶无组织排放</w:t>
            </w:r>
            <w:r>
              <w:rPr>
                <w:rFonts w:cs="Times New Roman"/>
                <w:color w:val="0000FF"/>
              </w:rPr>
              <w:t>。本项目所需要的水泥经过封闭的散装水泥车运输至厂内，从底部打入水泥筒仓中，水泥及石粉筒仓仓顶呼吸口在打入水泥时会产生粉尘。起尘量根据《环境工程统计手册》中一般粒径范围的给料粉尘产生系数为0.0006，本生产线使用水泥</w:t>
            </w:r>
            <w:r>
              <w:rPr>
                <w:rFonts w:hint="eastAsia" w:cs="Times New Roman"/>
                <w:color w:val="0000FF"/>
                <w:lang w:eastAsia="zh-CN"/>
              </w:rPr>
              <w:t>、矿粉</w:t>
            </w:r>
            <w:r>
              <w:rPr>
                <w:rFonts w:cs="Times New Roman"/>
                <w:color w:val="0000FF"/>
              </w:rPr>
              <w:t>及粉煤灰共</w:t>
            </w:r>
            <w:r>
              <w:rPr>
                <w:rFonts w:hint="eastAsia" w:cs="Times New Roman"/>
                <w:color w:val="0000FF"/>
                <w:lang w:val="en-US" w:eastAsia="zh-CN"/>
              </w:rPr>
              <w:t>31.5</w:t>
            </w:r>
            <w:r>
              <w:rPr>
                <w:rFonts w:cs="Times New Roman"/>
                <w:color w:val="0000FF"/>
              </w:rPr>
              <w:t>万t/a，则原料筒仓粉尘产生总量为</w:t>
            </w:r>
            <w:r>
              <w:rPr>
                <w:rFonts w:hint="eastAsia" w:cs="Times New Roman"/>
                <w:color w:val="0000FF"/>
                <w:lang w:val="en-US" w:eastAsia="zh-CN"/>
              </w:rPr>
              <w:t>189</w:t>
            </w:r>
            <w:r>
              <w:rPr>
                <w:rFonts w:cs="Times New Roman"/>
                <w:color w:val="0000FF"/>
              </w:rPr>
              <w:t>t/a，年工作时间为2000h，因此筒仓粉尘的产生速率为</w:t>
            </w:r>
            <w:r>
              <w:rPr>
                <w:rFonts w:hint="eastAsia" w:cs="Times New Roman"/>
                <w:color w:val="0000FF"/>
                <w:lang w:val="en-US" w:eastAsia="zh-CN"/>
              </w:rPr>
              <w:t>94.5</w:t>
            </w:r>
            <w:r>
              <w:rPr>
                <w:rFonts w:cs="Times New Roman"/>
                <w:color w:val="0000FF"/>
              </w:rPr>
              <w:t>kg/h，每个筒仓仓灌顶呼吸孔设置一个脉冲除尘器，单个风量为2000m</w:t>
            </w:r>
            <w:r>
              <w:rPr>
                <w:rFonts w:cs="Times New Roman"/>
                <w:color w:val="0000FF"/>
                <w:vertAlign w:val="superscript"/>
              </w:rPr>
              <w:t>3</w:t>
            </w:r>
            <w:r>
              <w:rPr>
                <w:rFonts w:cs="Times New Roman"/>
                <w:color w:val="0000FF"/>
              </w:rPr>
              <w:t>/h，脉冲除尘器除尘效率一般为</w:t>
            </w:r>
            <w:r>
              <w:rPr>
                <w:rFonts w:hint="eastAsia" w:cs="Times New Roman"/>
                <w:color w:val="0000FF"/>
              </w:rPr>
              <w:t>99.9</w:t>
            </w:r>
            <w:r>
              <w:rPr>
                <w:rFonts w:cs="Times New Roman"/>
                <w:color w:val="0000FF"/>
              </w:rPr>
              <w:t>%，则总排放量为0.</w:t>
            </w:r>
            <w:r>
              <w:rPr>
                <w:rFonts w:hint="eastAsia" w:cs="Times New Roman"/>
                <w:color w:val="0000FF"/>
                <w:lang w:val="en-US" w:eastAsia="zh-CN"/>
              </w:rPr>
              <w:t>189</w:t>
            </w:r>
            <w:r>
              <w:rPr>
                <w:rFonts w:cs="Times New Roman"/>
                <w:color w:val="0000FF"/>
              </w:rPr>
              <w:t>t/a、排放速率为0.</w:t>
            </w:r>
            <w:r>
              <w:rPr>
                <w:rFonts w:hint="eastAsia" w:cs="Times New Roman"/>
                <w:color w:val="0000FF"/>
                <w:lang w:val="en-US" w:eastAsia="zh-CN"/>
              </w:rPr>
              <w:t>09</w:t>
            </w:r>
            <w:r>
              <w:rPr>
                <w:rFonts w:cs="Times New Roman"/>
                <w:color w:val="0000FF"/>
              </w:rPr>
              <w:t>kg/h、浓度为</w:t>
            </w:r>
            <w:r>
              <w:rPr>
                <w:rFonts w:hint="eastAsia" w:cs="Times New Roman"/>
                <w:color w:val="0000FF"/>
                <w:lang w:val="en-US" w:eastAsia="zh-CN"/>
              </w:rPr>
              <w:t>45</w:t>
            </w:r>
            <w:r>
              <w:rPr>
                <w:rFonts w:cs="Times New Roman"/>
                <w:color w:val="0000FF"/>
              </w:rPr>
              <w:t>mg/m</w:t>
            </w:r>
            <w:r>
              <w:rPr>
                <w:rFonts w:cs="Times New Roman"/>
                <w:color w:val="0000FF"/>
                <w:vertAlign w:val="superscript"/>
              </w:rPr>
              <w:t>3</w:t>
            </w:r>
            <w:r>
              <w:rPr>
                <w:rFonts w:hint="eastAsia" w:cs="Times New Roman"/>
                <w:color w:val="0000FF"/>
              </w:rPr>
              <w:t>。</w:t>
            </w:r>
          </w:p>
          <w:p>
            <w:pPr>
              <w:pStyle w:val="147"/>
              <w:adjustRightInd w:val="0"/>
              <w:snapToGrid w:val="0"/>
              <w:spacing w:line="360" w:lineRule="auto"/>
              <w:ind w:firstLine="480" w:firstLineChars="200"/>
              <w:rPr>
                <w:rFonts w:eastAsiaTheme="minorEastAsia"/>
                <w:sz w:val="24"/>
                <w:szCs w:val="24"/>
              </w:rPr>
            </w:pPr>
            <w:r>
              <w:rPr>
                <w:rFonts w:eastAsiaTheme="minorEastAsia"/>
                <w:sz w:val="24"/>
                <w:szCs w:val="24"/>
              </w:rPr>
              <w:t>（</w:t>
            </w:r>
            <w:r>
              <w:rPr>
                <w:rFonts w:hint="eastAsia" w:eastAsiaTheme="minorEastAsia"/>
                <w:sz w:val="24"/>
                <w:szCs w:val="24"/>
              </w:rPr>
              <w:t>2</w:t>
            </w:r>
            <w:r>
              <w:rPr>
                <w:rFonts w:eastAsiaTheme="minorEastAsia"/>
                <w:sz w:val="24"/>
                <w:szCs w:val="24"/>
              </w:rPr>
              <w:t>）原料装卸产生的扬尘</w:t>
            </w:r>
          </w:p>
          <w:p>
            <w:pPr>
              <w:pStyle w:val="147"/>
              <w:adjustRightInd w:val="0"/>
              <w:snapToGrid w:val="0"/>
              <w:spacing w:line="360" w:lineRule="auto"/>
              <w:ind w:firstLine="480" w:firstLineChars="200"/>
              <w:rPr>
                <w:rFonts w:eastAsiaTheme="minorEastAsia"/>
                <w:sz w:val="24"/>
                <w:szCs w:val="24"/>
              </w:rPr>
            </w:pPr>
            <w:r>
              <w:rPr>
                <w:rFonts w:eastAsiaTheme="minorEastAsia"/>
                <w:sz w:val="24"/>
                <w:szCs w:val="24"/>
              </w:rPr>
              <w:t>本项目原料在进场时会产生卸料粉尘。装卸粉尘起尘量主要与原料中可起尘部分的粒径分布及堆存场所在地的风速大小有关，本项目砂石有一定得含水率（本次环评取10%），且颗粒比重较大，易沉降。本环评选取交通部水运研究所和武汉工程学院提出的装卸起尘量的经验公式进行装卸起尘量估算，具体如式：</w:t>
            </w:r>
          </w:p>
          <w:p>
            <w:pPr>
              <w:pStyle w:val="147"/>
              <w:adjustRightInd w:val="0"/>
              <w:snapToGrid w:val="0"/>
              <w:spacing w:line="360" w:lineRule="auto"/>
              <w:ind w:firstLine="420" w:firstLineChars="200"/>
              <w:jc w:val="center"/>
              <w:rPr>
                <w:rFonts w:eastAsiaTheme="minorEastAsia"/>
                <w:sz w:val="24"/>
                <w:szCs w:val="24"/>
              </w:rPr>
            </w:pPr>
            <w:r>
              <w:rPr>
                <w:rFonts w:eastAsiaTheme="minorEastAsia"/>
                <w:kern w:val="0"/>
                <w:szCs w:val="24"/>
              </w:rPr>
              <w:drawing>
                <wp:inline distT="0" distB="0" distL="0" distR="0">
                  <wp:extent cx="3271520" cy="345440"/>
                  <wp:effectExtent l="0" t="0" r="5080" b="16510"/>
                  <wp:docPr id="7" name="图片 6" descr="C:\Users\Administrator\AppData\Local\Temp\ksohtml27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AppData\Local\Temp\ksohtml2708\wps1.jpg"/>
                          <pic:cNvPicPr>
                            <a:picLocks noChangeAspect="1" noChangeArrowheads="1"/>
                          </pic:cNvPicPr>
                        </pic:nvPicPr>
                        <pic:blipFill>
                          <a:blip r:embed="rId20" cstate="print"/>
                          <a:srcRect/>
                          <a:stretch>
                            <a:fillRect/>
                          </a:stretch>
                        </pic:blipFill>
                        <pic:spPr>
                          <a:xfrm>
                            <a:off x="0" y="0"/>
                            <a:ext cx="3271520" cy="345440"/>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cs="Times New Roman"/>
                <w:szCs w:val="24"/>
              </w:rPr>
            </w:pPr>
            <w:r>
              <w:rPr>
                <w:rFonts w:cs="Times New Roman"/>
                <w:szCs w:val="24"/>
              </w:rPr>
              <w:t>式1中：Q——物料装车时机械落差起尘量；</w:t>
            </w:r>
          </w:p>
          <w:p>
            <w:pPr>
              <w:adjustRightInd w:val="0"/>
              <w:snapToGrid w:val="0"/>
              <w:spacing w:line="360" w:lineRule="auto"/>
              <w:ind w:firstLine="480" w:firstLineChars="200"/>
              <w:rPr>
                <w:rFonts w:cs="Times New Roman"/>
                <w:szCs w:val="24"/>
              </w:rPr>
            </w:pPr>
            <w:r>
              <w:rPr>
                <w:rFonts w:cs="Times New Roman"/>
                <w:szCs w:val="24"/>
              </w:rPr>
              <w:t>V——平均风速（m/s）；因在厂房内装卸故风速取0.6m/s.</w:t>
            </w:r>
          </w:p>
          <w:p>
            <w:pPr>
              <w:adjustRightInd w:val="0"/>
              <w:snapToGrid w:val="0"/>
              <w:spacing w:line="360" w:lineRule="auto"/>
              <w:ind w:firstLine="480" w:firstLineChars="200"/>
              <w:rPr>
                <w:rFonts w:cs="Times New Roman"/>
                <w:szCs w:val="24"/>
              </w:rPr>
            </w:pPr>
            <w:r>
              <w:rPr>
                <w:rFonts w:cs="Times New Roman"/>
                <w:szCs w:val="24"/>
              </w:rPr>
              <w:t>H——物料落差（m）；运输车车厢与地面之间的高度，为1.5m</w:t>
            </w:r>
          </w:p>
          <w:p>
            <w:pPr>
              <w:adjustRightInd w:val="0"/>
              <w:snapToGrid w:val="0"/>
              <w:spacing w:line="360" w:lineRule="auto"/>
              <w:ind w:firstLine="480" w:firstLineChars="200"/>
              <w:rPr>
                <w:rFonts w:cs="Times New Roman"/>
                <w:szCs w:val="24"/>
              </w:rPr>
            </w:pPr>
            <w:r>
              <w:rPr>
                <w:rFonts w:cs="Times New Roman"/>
                <w:szCs w:val="24"/>
              </w:rPr>
              <w:t>W——物料含水率（%），根据相关文献及同类型的项目可知，物料含水率为10%；</w:t>
            </w:r>
          </w:p>
          <w:p>
            <w:pPr>
              <w:adjustRightInd w:val="0"/>
              <w:snapToGrid w:val="0"/>
              <w:spacing w:line="360" w:lineRule="auto"/>
              <w:ind w:firstLine="480" w:firstLineChars="200"/>
              <w:rPr>
                <w:rFonts w:cs="Times New Roman"/>
                <w:szCs w:val="24"/>
              </w:rPr>
            </w:pPr>
            <w:r>
              <w:rPr>
                <w:rFonts w:cs="Times New Roman"/>
                <w:szCs w:val="24"/>
              </w:rPr>
              <w:t>经计算卸料粉尘产生量系数为0.001kg/t，本弄项目原料堆场均为封闭，且均设有洒水降尘设备， 经洒水降尘措施处理后，除尘效率约</w:t>
            </w:r>
            <w:r>
              <w:rPr>
                <w:rFonts w:hint="eastAsia" w:cs="Times New Roman"/>
                <w:szCs w:val="24"/>
                <w:lang w:val="en-US" w:eastAsia="zh-CN"/>
              </w:rPr>
              <w:t>85</w:t>
            </w:r>
            <w:r>
              <w:rPr>
                <w:rFonts w:cs="Times New Roman"/>
                <w:szCs w:val="24"/>
              </w:rPr>
              <w:t>%。生产线的卸料粉尘详见下表所示。</w:t>
            </w:r>
          </w:p>
          <w:p>
            <w:pPr>
              <w:keepNext/>
              <w:adjustRightInd w:val="0"/>
              <w:snapToGrid w:val="0"/>
              <w:ind w:firstLine="422" w:firstLineChars="200"/>
              <w:jc w:val="center"/>
              <w:rPr>
                <w:rFonts w:cs="Times New Roman"/>
                <w:b/>
                <w:sz w:val="21"/>
              </w:rPr>
            </w:pPr>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5.2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3</w:t>
            </w:r>
            <w:r>
              <w:rPr>
                <w:rFonts w:cs="Times New Roman"/>
                <w:b/>
                <w:sz w:val="21"/>
              </w:rPr>
              <w:fldChar w:fldCharType="end"/>
            </w:r>
            <w:r>
              <w:rPr>
                <w:rFonts w:cs="Times New Roman"/>
                <w:b/>
                <w:sz w:val="21"/>
              </w:rPr>
              <w:t xml:space="preserve"> 生产线的装卸料粉尘产排污情况一览表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075"/>
              <w:gridCol w:w="2076"/>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50" w:type="pct"/>
                </w:tcPr>
                <w:p>
                  <w:pPr>
                    <w:keepNext/>
                    <w:adjustRightInd w:val="0"/>
                    <w:snapToGrid w:val="0"/>
                    <w:jc w:val="center"/>
                    <w:rPr>
                      <w:rFonts w:cs="Times New Roman"/>
                      <w:color w:val="0000FF"/>
                      <w:sz w:val="21"/>
                    </w:rPr>
                  </w:pPr>
                  <w:r>
                    <w:rPr>
                      <w:rFonts w:cs="Times New Roman"/>
                      <w:color w:val="0000FF"/>
                      <w:sz w:val="21"/>
                    </w:rPr>
                    <w:t>生产线名称</w:t>
                  </w:r>
                </w:p>
              </w:tc>
              <w:tc>
                <w:tcPr>
                  <w:tcW w:w="1250" w:type="pct"/>
                </w:tcPr>
                <w:p>
                  <w:pPr>
                    <w:keepNext/>
                    <w:adjustRightInd w:val="0"/>
                    <w:snapToGrid w:val="0"/>
                    <w:jc w:val="center"/>
                    <w:rPr>
                      <w:rFonts w:cs="Times New Roman"/>
                      <w:color w:val="0000FF"/>
                      <w:sz w:val="21"/>
                    </w:rPr>
                  </w:pPr>
                  <w:r>
                    <w:rPr>
                      <w:rFonts w:cs="Times New Roman"/>
                      <w:color w:val="0000FF"/>
                      <w:sz w:val="21"/>
                    </w:rPr>
                    <w:t>粉料使用量t/a</w:t>
                  </w:r>
                </w:p>
              </w:tc>
              <w:tc>
                <w:tcPr>
                  <w:tcW w:w="1250" w:type="pct"/>
                </w:tcPr>
                <w:p>
                  <w:pPr>
                    <w:keepNext/>
                    <w:adjustRightInd w:val="0"/>
                    <w:snapToGrid w:val="0"/>
                    <w:jc w:val="center"/>
                    <w:rPr>
                      <w:rFonts w:cs="Times New Roman"/>
                      <w:color w:val="0000FF"/>
                      <w:sz w:val="21"/>
                    </w:rPr>
                  </w:pPr>
                  <w:r>
                    <w:rPr>
                      <w:rFonts w:cs="Times New Roman"/>
                      <w:color w:val="0000FF"/>
                      <w:sz w:val="21"/>
                    </w:rPr>
                    <w:t>粉尘产生量t/a</w:t>
                  </w:r>
                </w:p>
              </w:tc>
              <w:tc>
                <w:tcPr>
                  <w:tcW w:w="1250" w:type="pct"/>
                </w:tcPr>
                <w:p>
                  <w:pPr>
                    <w:keepNext/>
                    <w:adjustRightInd w:val="0"/>
                    <w:snapToGrid w:val="0"/>
                    <w:jc w:val="center"/>
                    <w:rPr>
                      <w:rFonts w:cs="Times New Roman"/>
                      <w:color w:val="0000FF"/>
                      <w:sz w:val="21"/>
                    </w:rPr>
                  </w:pPr>
                  <w:r>
                    <w:rPr>
                      <w:rFonts w:cs="Times New Roman"/>
                      <w:color w:val="0000FF"/>
                      <w:sz w:val="21"/>
                    </w:rPr>
                    <w:t>粉尘排放量t/a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keepNext/>
                    <w:adjustRightInd w:val="0"/>
                    <w:snapToGrid w:val="0"/>
                    <w:jc w:val="center"/>
                    <w:rPr>
                      <w:rFonts w:cs="Times New Roman"/>
                      <w:color w:val="0000FF"/>
                      <w:sz w:val="21"/>
                    </w:rPr>
                  </w:pPr>
                  <w:r>
                    <w:rPr>
                      <w:rFonts w:cs="Times New Roman"/>
                      <w:color w:val="0000FF"/>
                      <w:sz w:val="21"/>
                    </w:rPr>
                    <w:t>混凝土生产线</w:t>
                  </w:r>
                </w:p>
              </w:tc>
              <w:tc>
                <w:tcPr>
                  <w:tcW w:w="1250" w:type="pct"/>
                </w:tcPr>
                <w:p>
                  <w:pPr>
                    <w:keepNext/>
                    <w:adjustRightInd w:val="0"/>
                    <w:snapToGrid w:val="0"/>
                    <w:jc w:val="center"/>
                    <w:rPr>
                      <w:rFonts w:hint="default" w:cs="Times New Roman" w:eastAsiaTheme="minorEastAsia"/>
                      <w:color w:val="0000FF"/>
                      <w:sz w:val="21"/>
                      <w:lang w:val="en-US" w:eastAsia="zh-CN"/>
                    </w:rPr>
                  </w:pPr>
                  <w:r>
                    <w:rPr>
                      <w:rFonts w:hint="eastAsia" w:cs="Times New Roman"/>
                      <w:color w:val="0000FF"/>
                      <w:sz w:val="21"/>
                      <w:lang w:val="en-US" w:eastAsia="zh-CN"/>
                    </w:rPr>
                    <w:t>1215000</w:t>
                  </w:r>
                </w:p>
              </w:tc>
              <w:tc>
                <w:tcPr>
                  <w:tcW w:w="1250" w:type="pct"/>
                </w:tcPr>
                <w:p>
                  <w:pPr>
                    <w:keepNext/>
                    <w:adjustRightInd w:val="0"/>
                    <w:snapToGrid w:val="0"/>
                    <w:jc w:val="center"/>
                    <w:rPr>
                      <w:rFonts w:hint="default" w:cs="Times New Roman" w:eastAsiaTheme="minorEastAsia"/>
                      <w:color w:val="0000FF"/>
                      <w:sz w:val="21"/>
                      <w:lang w:val="en-US" w:eastAsia="zh-CN"/>
                    </w:rPr>
                  </w:pPr>
                  <w:r>
                    <w:rPr>
                      <w:rFonts w:hint="eastAsia" w:cs="Times New Roman"/>
                      <w:color w:val="0000FF"/>
                      <w:sz w:val="21"/>
                      <w:lang w:val="en-US" w:eastAsia="zh-CN"/>
                    </w:rPr>
                    <w:t>1.2</w:t>
                  </w:r>
                </w:p>
              </w:tc>
              <w:tc>
                <w:tcPr>
                  <w:tcW w:w="1250" w:type="pct"/>
                </w:tcPr>
                <w:p>
                  <w:pPr>
                    <w:keepNext/>
                    <w:adjustRightInd w:val="0"/>
                    <w:snapToGrid w:val="0"/>
                    <w:jc w:val="center"/>
                    <w:rPr>
                      <w:rFonts w:hint="default" w:cs="Times New Roman" w:eastAsiaTheme="minorEastAsia"/>
                      <w:color w:val="0000FF"/>
                      <w:sz w:val="21"/>
                      <w:lang w:val="en-US" w:eastAsia="zh-CN"/>
                    </w:rPr>
                  </w:pPr>
                  <w:r>
                    <w:rPr>
                      <w:rFonts w:hint="eastAsia" w:cs="Times New Roman"/>
                      <w:color w:val="0000FF"/>
                      <w:sz w:val="21"/>
                      <w:lang w:val="en-US" w:eastAsia="zh-CN"/>
                    </w:rPr>
                    <w:t>0.18</w:t>
                  </w:r>
                </w:p>
              </w:tc>
            </w:tr>
          </w:tbl>
          <w:p>
            <w:pPr>
              <w:pStyle w:val="147"/>
              <w:adjustRightInd w:val="0"/>
              <w:snapToGrid w:val="0"/>
              <w:spacing w:line="360" w:lineRule="auto"/>
              <w:ind w:firstLine="480" w:firstLineChars="200"/>
              <w:rPr>
                <w:rFonts w:eastAsiaTheme="minorEastAsia"/>
                <w:sz w:val="24"/>
                <w:szCs w:val="24"/>
              </w:rPr>
            </w:pPr>
            <w:r>
              <w:rPr>
                <w:rFonts w:eastAsiaTheme="minorEastAsia"/>
                <w:sz w:val="24"/>
                <w:szCs w:val="24"/>
              </w:rPr>
              <w:t>（</w:t>
            </w:r>
            <w:r>
              <w:rPr>
                <w:rFonts w:hint="eastAsia" w:eastAsiaTheme="minorEastAsia"/>
                <w:sz w:val="24"/>
                <w:szCs w:val="24"/>
              </w:rPr>
              <w:t>3</w:t>
            </w:r>
            <w:r>
              <w:rPr>
                <w:rFonts w:eastAsiaTheme="minorEastAsia"/>
                <w:sz w:val="24"/>
                <w:szCs w:val="24"/>
              </w:rPr>
              <w:t>）堆场扬尘</w:t>
            </w:r>
          </w:p>
          <w:p>
            <w:pPr>
              <w:pStyle w:val="82"/>
              <w:snapToGrid w:val="0"/>
              <w:spacing w:line="360" w:lineRule="auto"/>
              <w:ind w:firstLine="480" w:firstLineChars="200"/>
              <w:rPr>
                <w:rFonts w:ascii="Times New Roman" w:hAnsi="Times New Roman" w:cs="Times New Roman"/>
                <w:color w:val="auto"/>
                <w:kern w:val="2"/>
              </w:rPr>
            </w:pPr>
            <w:r>
              <w:rPr>
                <w:rFonts w:ascii="Times New Roman" w:hAnsi="Times New Roman" w:cs="Times New Roman"/>
                <w:color w:val="auto"/>
                <w:kern w:val="2"/>
              </w:rPr>
              <w:t>根据相关调研资料分析，砂石料堆场主要的大气环境问题为粒径较小的颗粒在风力作用下起动输送，会对下风向大气环境造成污染。本环评采用西安冶金建筑学院干堆扬尘公式计算砂石堆场堆放风力起尘量，公式如下：</w:t>
            </w:r>
          </w:p>
          <w:p>
            <w:pPr>
              <w:adjustRightInd w:val="0"/>
              <w:snapToGrid w:val="0"/>
              <w:jc w:val="center"/>
              <w:rPr>
                <w:rFonts w:cs="Times New Roman"/>
              </w:rPr>
            </w:pPr>
            <w:r>
              <w:rPr>
                <w:rFonts w:cs="Times New Roman"/>
              </w:rPr>
              <w:drawing>
                <wp:inline distT="0" distB="0" distL="0" distR="0">
                  <wp:extent cx="1852295" cy="249555"/>
                  <wp:effectExtent l="0" t="0" r="0" b="17145"/>
                  <wp:docPr id="18" name="图片 18" descr="C:\Users\Administrator\AppData\Local\Temp\ksohtml788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Local\Temp\ksohtml7888\wps4.png"/>
                          <pic:cNvPicPr>
                            <a:picLocks noChangeAspect="1" noChangeArrowheads="1"/>
                          </pic:cNvPicPr>
                        </pic:nvPicPr>
                        <pic:blipFill>
                          <a:blip r:embed="rId21" cstate="print"/>
                          <a:srcRect/>
                          <a:stretch>
                            <a:fillRect/>
                          </a:stretch>
                        </pic:blipFill>
                        <pic:spPr>
                          <a:xfrm>
                            <a:off x="0" y="0"/>
                            <a:ext cx="1852295" cy="249555"/>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cs="Times New Roman"/>
                <w:szCs w:val="24"/>
              </w:rPr>
            </w:pPr>
            <w:r>
              <w:rPr>
                <w:rFonts w:cs="Times New Roman"/>
              </w:rPr>
              <w:t>式中：</w:t>
            </w:r>
            <w:r>
              <w:rPr>
                <w:rFonts w:cs="Times New Roman"/>
                <w:szCs w:val="24"/>
              </w:rPr>
              <w:t>Q：起尘量，mg/s；</w:t>
            </w:r>
          </w:p>
          <w:p>
            <w:pPr>
              <w:adjustRightInd w:val="0"/>
              <w:snapToGrid w:val="0"/>
              <w:spacing w:line="360" w:lineRule="auto"/>
              <w:ind w:firstLine="480" w:firstLineChars="200"/>
              <w:rPr>
                <w:rFonts w:cs="Times New Roman"/>
                <w:szCs w:val="24"/>
              </w:rPr>
            </w:pPr>
            <w:r>
              <w:rPr>
                <w:rFonts w:cs="Times New Roman"/>
                <w:szCs w:val="24"/>
              </w:rPr>
              <w:t xml:space="preserve">      U：起尘风速，因在厂房内装卸故风速取0.6m/s；</w:t>
            </w:r>
          </w:p>
          <w:p>
            <w:pPr>
              <w:adjustRightInd w:val="0"/>
              <w:snapToGrid w:val="0"/>
              <w:spacing w:line="360" w:lineRule="auto"/>
              <w:ind w:firstLine="480" w:firstLineChars="200"/>
              <w:rPr>
                <w:rFonts w:cs="Times New Roman"/>
                <w:szCs w:val="24"/>
              </w:rPr>
            </w:pPr>
            <w:r>
              <w:rPr>
                <w:rFonts w:cs="Times New Roman"/>
                <w:szCs w:val="24"/>
              </w:rPr>
              <w:t xml:space="preserve">      Ap：砂石料堆场的面积，m</w:t>
            </w:r>
            <w:r>
              <w:rPr>
                <w:rFonts w:cs="Times New Roman"/>
                <w:szCs w:val="24"/>
                <w:vertAlign w:val="superscript"/>
              </w:rPr>
              <w:t>2</w:t>
            </w:r>
          </w:p>
          <w:p>
            <w:pPr>
              <w:adjustRightInd w:val="0"/>
              <w:snapToGrid w:val="0"/>
              <w:spacing w:line="360" w:lineRule="auto"/>
              <w:ind w:firstLine="480" w:firstLineChars="200"/>
              <w:rPr>
                <w:rFonts w:cs="Times New Roman"/>
              </w:rPr>
            </w:pPr>
            <w:r>
              <w:rPr>
                <w:rFonts w:cs="Times New Roman"/>
              </w:rPr>
              <w:t>本项目原料堆场均为封闭的，每个原料堆场布设喷淋洒水设施，能保证喷头洒水面积覆盖整个堆场，降尘效率约达75%，年工作2000小时，各个原料堆场的堆场扬尘量详见下表所示。</w:t>
            </w:r>
          </w:p>
          <w:p>
            <w:pPr>
              <w:keepNext/>
              <w:adjustRightInd w:val="0"/>
              <w:snapToGrid w:val="0"/>
              <w:jc w:val="center"/>
              <w:rPr>
                <w:rFonts w:cs="Times New Roman"/>
                <w:b/>
                <w:sz w:val="21"/>
              </w:rPr>
            </w:pPr>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5.2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4</w:t>
            </w:r>
            <w:r>
              <w:rPr>
                <w:rFonts w:cs="Times New Roman"/>
                <w:b/>
                <w:sz w:val="21"/>
              </w:rPr>
              <w:fldChar w:fldCharType="end"/>
            </w:r>
            <w:r>
              <w:rPr>
                <w:rFonts w:cs="Times New Roman"/>
                <w:b/>
                <w:sz w:val="21"/>
              </w:rPr>
              <w:t xml:space="preserve">  各个生产线的堆场扬尘</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5"/>
              <w:gridCol w:w="2075"/>
              <w:gridCol w:w="2076"/>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keepNext/>
                    <w:adjustRightInd w:val="0"/>
                    <w:snapToGrid w:val="0"/>
                    <w:jc w:val="center"/>
                    <w:rPr>
                      <w:rFonts w:cs="Times New Roman"/>
                      <w:sz w:val="21"/>
                    </w:rPr>
                  </w:pPr>
                  <w:r>
                    <w:rPr>
                      <w:rFonts w:cs="Times New Roman"/>
                      <w:sz w:val="21"/>
                    </w:rPr>
                    <w:t>生产线名称</w:t>
                  </w:r>
                </w:p>
              </w:tc>
              <w:tc>
                <w:tcPr>
                  <w:tcW w:w="1250" w:type="pct"/>
                </w:tcPr>
                <w:p>
                  <w:pPr>
                    <w:keepNext/>
                    <w:adjustRightInd w:val="0"/>
                    <w:snapToGrid w:val="0"/>
                    <w:jc w:val="center"/>
                    <w:rPr>
                      <w:rFonts w:cs="Times New Roman"/>
                      <w:sz w:val="21"/>
                    </w:rPr>
                  </w:pPr>
                  <w:r>
                    <w:rPr>
                      <w:rFonts w:cs="Times New Roman"/>
                      <w:sz w:val="21"/>
                    </w:rPr>
                    <w:t>堆场面积m</w:t>
                  </w:r>
                  <w:r>
                    <w:rPr>
                      <w:rFonts w:cs="Times New Roman"/>
                      <w:sz w:val="21"/>
                      <w:vertAlign w:val="superscript"/>
                    </w:rPr>
                    <w:t>2</w:t>
                  </w:r>
                </w:p>
              </w:tc>
              <w:tc>
                <w:tcPr>
                  <w:tcW w:w="1250" w:type="pct"/>
                </w:tcPr>
                <w:p>
                  <w:pPr>
                    <w:keepNext/>
                    <w:adjustRightInd w:val="0"/>
                    <w:snapToGrid w:val="0"/>
                    <w:jc w:val="center"/>
                    <w:rPr>
                      <w:rFonts w:cs="Times New Roman"/>
                      <w:sz w:val="21"/>
                    </w:rPr>
                  </w:pPr>
                  <w:r>
                    <w:rPr>
                      <w:rFonts w:cs="Times New Roman"/>
                      <w:sz w:val="21"/>
                    </w:rPr>
                    <w:t>粉尘产生量t/a</w:t>
                  </w:r>
                </w:p>
              </w:tc>
              <w:tc>
                <w:tcPr>
                  <w:tcW w:w="1250" w:type="pct"/>
                </w:tcPr>
                <w:p>
                  <w:pPr>
                    <w:keepNext/>
                    <w:adjustRightInd w:val="0"/>
                    <w:snapToGrid w:val="0"/>
                    <w:jc w:val="center"/>
                    <w:rPr>
                      <w:rFonts w:cs="Times New Roman"/>
                      <w:sz w:val="21"/>
                    </w:rPr>
                  </w:pPr>
                  <w:r>
                    <w:rPr>
                      <w:rFonts w:cs="Times New Roman"/>
                      <w:sz w:val="21"/>
                    </w:rPr>
                    <w:t>粉尘排放量t/a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50" w:type="pct"/>
                </w:tcPr>
                <w:p>
                  <w:pPr>
                    <w:keepNext/>
                    <w:adjustRightInd w:val="0"/>
                    <w:snapToGrid w:val="0"/>
                    <w:jc w:val="center"/>
                    <w:rPr>
                      <w:rFonts w:cs="Times New Roman"/>
                      <w:sz w:val="21"/>
                    </w:rPr>
                  </w:pPr>
                  <w:r>
                    <w:rPr>
                      <w:rFonts w:cs="Times New Roman"/>
                      <w:sz w:val="21"/>
                    </w:rPr>
                    <w:t>原料堆场</w:t>
                  </w:r>
                </w:p>
              </w:tc>
              <w:tc>
                <w:tcPr>
                  <w:tcW w:w="1250" w:type="pct"/>
                </w:tcPr>
                <w:p>
                  <w:pPr>
                    <w:keepNext/>
                    <w:adjustRightInd w:val="0"/>
                    <w:snapToGrid w:val="0"/>
                    <w:jc w:val="center"/>
                    <w:rPr>
                      <w:rFonts w:cs="Times New Roman"/>
                      <w:sz w:val="21"/>
                    </w:rPr>
                  </w:pPr>
                  <w:r>
                    <w:rPr>
                      <w:rFonts w:cs="Times New Roman"/>
                      <w:sz w:val="21"/>
                    </w:rPr>
                    <w:t>2035.02</w:t>
                  </w:r>
                </w:p>
              </w:tc>
              <w:tc>
                <w:tcPr>
                  <w:tcW w:w="1250" w:type="pct"/>
                </w:tcPr>
                <w:p>
                  <w:pPr>
                    <w:keepNext/>
                    <w:adjustRightInd w:val="0"/>
                    <w:snapToGrid w:val="0"/>
                    <w:jc w:val="center"/>
                    <w:rPr>
                      <w:rFonts w:cs="Times New Roman"/>
                      <w:sz w:val="21"/>
                    </w:rPr>
                  </w:pPr>
                  <w:r>
                    <w:rPr>
                      <w:rFonts w:cs="Times New Roman"/>
                      <w:sz w:val="21"/>
                    </w:rPr>
                    <w:t>0.07</w:t>
                  </w:r>
                </w:p>
              </w:tc>
              <w:tc>
                <w:tcPr>
                  <w:tcW w:w="1250" w:type="pct"/>
                </w:tcPr>
                <w:p>
                  <w:pPr>
                    <w:keepNext/>
                    <w:adjustRightInd w:val="0"/>
                    <w:snapToGrid w:val="0"/>
                    <w:jc w:val="center"/>
                    <w:rPr>
                      <w:rFonts w:cs="Times New Roman"/>
                      <w:sz w:val="21"/>
                    </w:rPr>
                  </w:pPr>
                  <w:r>
                    <w:rPr>
                      <w:rFonts w:cs="Times New Roman"/>
                      <w:sz w:val="21"/>
                    </w:rPr>
                    <w:t>0.017</w:t>
                  </w:r>
                </w:p>
              </w:tc>
            </w:tr>
          </w:tbl>
          <w:p>
            <w:pPr>
              <w:pStyle w:val="147"/>
              <w:adjustRightInd w:val="0"/>
              <w:snapToGrid w:val="0"/>
              <w:spacing w:line="360" w:lineRule="auto"/>
              <w:ind w:firstLine="480" w:firstLineChars="200"/>
              <w:rPr>
                <w:rFonts w:eastAsiaTheme="minorEastAsia"/>
                <w:sz w:val="24"/>
                <w:szCs w:val="24"/>
              </w:rPr>
            </w:pPr>
            <w:r>
              <w:rPr>
                <w:rFonts w:eastAsiaTheme="minorEastAsia"/>
                <w:sz w:val="24"/>
                <w:szCs w:val="24"/>
              </w:rPr>
              <w:t>（</w:t>
            </w:r>
            <w:r>
              <w:rPr>
                <w:rFonts w:hint="eastAsia" w:eastAsiaTheme="minorEastAsia"/>
                <w:sz w:val="24"/>
                <w:szCs w:val="24"/>
              </w:rPr>
              <w:t>4</w:t>
            </w:r>
            <w:r>
              <w:rPr>
                <w:rFonts w:eastAsiaTheme="minorEastAsia"/>
                <w:sz w:val="24"/>
                <w:szCs w:val="24"/>
              </w:rPr>
              <w:t>）运输扬尘及汽车尾气</w:t>
            </w:r>
          </w:p>
          <w:p>
            <w:pPr>
              <w:adjustRightInd w:val="0"/>
              <w:snapToGrid w:val="0"/>
              <w:spacing w:line="360" w:lineRule="auto"/>
              <w:ind w:firstLine="480" w:firstLineChars="200"/>
              <w:rPr>
                <w:rFonts w:cs="Times New Roman"/>
                <w:szCs w:val="24"/>
              </w:rPr>
            </w:pPr>
            <w:r>
              <w:rPr>
                <w:rFonts w:cs="Times New Roman"/>
                <w:szCs w:val="24"/>
              </w:rPr>
              <w:t>汽车运输时会产生汽车尾气，主要污染为CO、SO</w:t>
            </w:r>
            <w:r>
              <w:rPr>
                <w:rFonts w:cs="Times New Roman"/>
                <w:szCs w:val="24"/>
                <w:vertAlign w:val="subscript"/>
              </w:rPr>
              <w:t>2</w:t>
            </w:r>
            <w:r>
              <w:rPr>
                <w:rFonts w:cs="Times New Roman"/>
                <w:szCs w:val="24"/>
              </w:rPr>
              <w:t>、NO</w:t>
            </w:r>
            <w:r>
              <w:rPr>
                <w:rFonts w:cs="Times New Roman"/>
                <w:szCs w:val="24"/>
                <w:vertAlign w:val="subscript"/>
              </w:rPr>
              <w:t>x</w:t>
            </w:r>
            <w:r>
              <w:rPr>
                <w:rFonts w:cs="Times New Roman"/>
                <w:szCs w:val="24"/>
              </w:rPr>
              <w:t>，项目运输车辆尾气排放量较少，且经大气稀释、扩散以及周边植物吸收后，对区域大气环境影响极小，故不做定量分析。</w:t>
            </w:r>
          </w:p>
          <w:p>
            <w:pPr>
              <w:pStyle w:val="113"/>
              <w:spacing w:before="0" w:line="360" w:lineRule="auto"/>
              <w:ind w:firstLine="480"/>
              <w:rPr>
                <w:rFonts w:ascii="Times New Roman" w:hAnsi="Times New Roman" w:cs="Times New Roman"/>
              </w:rPr>
            </w:pPr>
            <w:r>
              <w:rPr>
                <w:rFonts w:ascii="Times New Roman" w:hAnsi="Times New Roman" w:cs="Times New Roman"/>
                <w:szCs w:val="24"/>
              </w:rPr>
              <w:t>汽车运输过程中会产生扬尘，本项目每天对路面</w:t>
            </w:r>
            <w:r>
              <w:rPr>
                <w:rFonts w:ascii="Times New Roman" w:hAnsi="Times New Roman" w:cs="Times New Roman"/>
              </w:rPr>
              <w:t>洒水抑尘4~5次，并会依据扬尘产生情况增加洒水次数；对进出车辆均设有洗车程序；道路周边、建筑周边及厂界均设置了绿化带。在采取以上措施的情况下，可大大降低道路表面粉尘量，使其对周边环境影响较小。</w:t>
            </w:r>
          </w:p>
          <w:p>
            <w:pPr>
              <w:adjustRightInd w:val="0"/>
              <w:snapToGrid w:val="0"/>
              <w:spacing w:line="360" w:lineRule="auto"/>
              <w:ind w:firstLine="480" w:firstLineChars="200"/>
              <w:rPr>
                <w:rFonts w:cs="Times New Roman"/>
                <w:szCs w:val="24"/>
              </w:rPr>
            </w:pPr>
            <w:r>
              <w:rPr>
                <w:rFonts w:cs="Times New Roman"/>
                <w:szCs w:val="24"/>
              </w:rPr>
              <w:t>（</w:t>
            </w:r>
            <w:r>
              <w:rPr>
                <w:rFonts w:hint="eastAsia" w:cs="Times New Roman"/>
                <w:szCs w:val="24"/>
              </w:rPr>
              <w:t>5</w:t>
            </w:r>
            <w:r>
              <w:rPr>
                <w:rFonts w:cs="Times New Roman"/>
                <w:szCs w:val="24"/>
              </w:rPr>
              <w:t>）食堂油烟</w:t>
            </w:r>
          </w:p>
          <w:p>
            <w:pPr>
              <w:pStyle w:val="113"/>
              <w:spacing w:before="0" w:line="360" w:lineRule="auto"/>
              <w:ind w:firstLine="480"/>
              <w:rPr>
                <w:rFonts w:ascii="Times New Roman" w:hAnsi="Times New Roman" w:cs="Times New Roman"/>
              </w:rPr>
            </w:pPr>
            <w:r>
              <w:rPr>
                <w:rFonts w:ascii="Times New Roman" w:hAnsi="Times New Roman" w:cs="Times New Roman"/>
                <w:color w:val="0000FF"/>
              </w:rPr>
              <w:t>项目员工定员约</w:t>
            </w:r>
            <w:r>
              <w:rPr>
                <w:rFonts w:hint="eastAsia" w:ascii="Times New Roman" w:hAnsi="Times New Roman" w:cs="Times New Roman"/>
                <w:color w:val="0000FF"/>
              </w:rPr>
              <w:t>28</w:t>
            </w:r>
            <w:r>
              <w:rPr>
                <w:rFonts w:ascii="Times New Roman" w:hAnsi="Times New Roman" w:cs="Times New Roman"/>
                <w:color w:val="0000FF"/>
              </w:rPr>
              <w:t>人，一日供应3餐，设有一个食堂，每天使用6h，使用液化石油气作燃料。根据建设单位提供的资料及类比同类型项目，人均日使用食用油约30g/cap.d，一般油烟挥发量占使用量的2.5%，则项目油烟产生总量约为0.02</w:t>
            </w:r>
            <w:r>
              <w:rPr>
                <w:rFonts w:hint="eastAsia" w:ascii="Times New Roman" w:hAnsi="Times New Roman" w:cs="Times New Roman"/>
                <w:color w:val="0000FF"/>
              </w:rPr>
              <w:t>1</w:t>
            </w:r>
            <w:r>
              <w:rPr>
                <w:rFonts w:ascii="Times New Roman" w:hAnsi="Times New Roman" w:cs="Times New Roman"/>
                <w:color w:val="0000FF"/>
              </w:rPr>
              <w:t>kg/d</w:t>
            </w:r>
            <w:r>
              <w:rPr>
                <w:rFonts w:ascii="Times New Roman" w:hAnsi="Times New Roman" w:cs="Times New Roman"/>
              </w:rPr>
              <w:t>，0.006</w:t>
            </w:r>
            <w:r>
              <w:rPr>
                <w:rFonts w:hint="eastAsia" w:ascii="Times New Roman" w:hAnsi="Times New Roman" w:cs="Times New Roman"/>
              </w:rPr>
              <w:t>9</w:t>
            </w:r>
            <w:r>
              <w:rPr>
                <w:rFonts w:ascii="Times New Roman" w:hAnsi="Times New Roman" w:cs="Times New Roman"/>
              </w:rPr>
              <w:t>t/a。拟在员工食堂安装油烟净化器，油烟净化器总排风量为4000m³/h，油烟净化率为60%，则油烟废气排放量为</w:t>
            </w:r>
            <w:r>
              <w:rPr>
                <w:rFonts w:hint="eastAsia" w:ascii="Times New Roman" w:hAnsi="Times New Roman" w:cs="Times New Roman"/>
              </w:rPr>
              <w:t>0.004</w:t>
            </w:r>
            <w:r>
              <w:rPr>
                <w:rFonts w:ascii="Times New Roman" w:hAnsi="Times New Roman" w:cs="Times New Roman"/>
              </w:rPr>
              <w:t>t/a（0.0</w:t>
            </w:r>
            <w:r>
              <w:rPr>
                <w:rFonts w:hint="eastAsia" w:ascii="Times New Roman" w:hAnsi="Times New Roman" w:cs="Times New Roman"/>
              </w:rPr>
              <w:t>12</w:t>
            </w:r>
            <w:r>
              <w:rPr>
                <w:rFonts w:ascii="Times New Roman" w:hAnsi="Times New Roman" w:cs="Times New Roman"/>
              </w:rPr>
              <w:t>kg/h），排放浓度为</w:t>
            </w:r>
            <w:r>
              <w:rPr>
                <w:rFonts w:hint="eastAsia" w:ascii="Times New Roman" w:hAnsi="Times New Roman" w:cs="Times New Roman"/>
              </w:rPr>
              <w:t>3</w:t>
            </w:r>
            <w:r>
              <w:rPr>
                <w:rFonts w:ascii="Times New Roman" w:hAnsi="Times New Roman" w:cs="Times New Roman"/>
              </w:rPr>
              <w:t>mg/m³。</w:t>
            </w:r>
          </w:p>
          <w:p>
            <w:pPr>
              <w:adjustRightInd w:val="0"/>
              <w:snapToGrid w:val="0"/>
              <w:spacing w:line="360" w:lineRule="auto"/>
              <w:ind w:firstLine="480" w:firstLineChars="200"/>
              <w:rPr>
                <w:rFonts w:cs="Times New Roman"/>
                <w:szCs w:val="24"/>
              </w:rPr>
            </w:pPr>
            <w:r>
              <w:rPr>
                <w:rFonts w:cs="Times New Roman"/>
                <w:szCs w:val="24"/>
              </w:rPr>
              <w:t>（</w:t>
            </w:r>
            <w:r>
              <w:rPr>
                <w:rFonts w:hint="eastAsia" w:cs="Times New Roman"/>
                <w:szCs w:val="24"/>
              </w:rPr>
              <w:t>6</w:t>
            </w:r>
            <w:r>
              <w:rPr>
                <w:rFonts w:cs="Times New Roman"/>
                <w:szCs w:val="24"/>
              </w:rPr>
              <w:t>）备用发电机燃油废气</w:t>
            </w:r>
          </w:p>
          <w:p>
            <w:pPr>
              <w:adjustRightInd w:val="0"/>
              <w:snapToGrid w:val="0"/>
              <w:spacing w:line="360" w:lineRule="auto"/>
              <w:ind w:firstLine="480" w:firstLineChars="200"/>
              <w:rPr>
                <w:rFonts w:cs="Times New Roman"/>
              </w:rPr>
            </w:pPr>
            <w:r>
              <w:rPr>
                <w:rFonts w:cs="Times New Roman"/>
              </w:rPr>
              <w:t>本项目设置1台单机容量250kw的发电机，作为一级负荷的备用电源，其小时耗油量为660kg/h，由于</w:t>
            </w:r>
            <w:r>
              <w:rPr>
                <w:rFonts w:hint="eastAsia" w:cs="Times New Roman"/>
              </w:rPr>
              <w:t>岳</w:t>
            </w:r>
            <w:r>
              <w:rPr>
                <w:rFonts w:cs="Times New Roman"/>
              </w:rPr>
              <w:t>阳市的供电比较正常，因此备用柴油发电机的启用次数不多，每个月使用时间小于8h。本环评为便于计算，按每月发电一次，每次运行8h计，则年总耗油量为660kg/h×8小时/次×12月/年=63.36t/a。</w:t>
            </w:r>
          </w:p>
          <w:p>
            <w:pPr>
              <w:adjustRightInd w:val="0"/>
              <w:snapToGrid w:val="0"/>
              <w:spacing w:line="360" w:lineRule="auto"/>
              <w:ind w:firstLine="480" w:firstLineChars="200"/>
              <w:rPr>
                <w:rFonts w:cs="Times New Roman"/>
                <w:kern w:val="0"/>
              </w:rPr>
            </w:pPr>
            <w:r>
              <w:rPr>
                <w:rFonts w:cs="Times New Roman"/>
                <w:kern w:val="0"/>
              </w:rPr>
              <w:t>参照北京市环境保护科学研究院世行课题组编制的《北京环境总体规划研究》中确定的排放系数，即燃烧1t油NO</w:t>
            </w:r>
            <w:r>
              <w:rPr>
                <w:rFonts w:cs="Times New Roman"/>
                <w:kern w:val="0"/>
                <w:vertAlign w:val="subscript"/>
              </w:rPr>
              <w:t>X</w:t>
            </w:r>
            <w:r>
              <w:rPr>
                <w:rFonts w:cs="Times New Roman"/>
                <w:kern w:val="0"/>
              </w:rPr>
              <w:t>的排放量为2.94kg，CO的排放量为1.73kg，SO</w:t>
            </w:r>
            <w:r>
              <w:rPr>
                <w:rFonts w:cs="Times New Roman"/>
                <w:kern w:val="0"/>
                <w:vertAlign w:val="subscript"/>
              </w:rPr>
              <w:t>2</w:t>
            </w:r>
            <w:r>
              <w:rPr>
                <w:rFonts w:cs="Times New Roman"/>
                <w:kern w:val="0"/>
              </w:rPr>
              <w:t>的排放量为4.57kg，烟尘的排放量为0.81kg，计算得到NO</w:t>
            </w:r>
            <w:r>
              <w:rPr>
                <w:rFonts w:cs="Times New Roman"/>
                <w:kern w:val="0"/>
                <w:vertAlign w:val="subscript"/>
              </w:rPr>
              <w:t>X</w:t>
            </w:r>
            <w:r>
              <w:rPr>
                <w:rFonts w:cs="Times New Roman"/>
                <w:kern w:val="0"/>
              </w:rPr>
              <w:t>的排放量为186.28kg/a，CO的排放量为109.62kg/a，SO</w:t>
            </w:r>
            <w:r>
              <w:rPr>
                <w:rFonts w:cs="Times New Roman"/>
                <w:kern w:val="0"/>
                <w:vertAlign w:val="subscript"/>
              </w:rPr>
              <w:t>2</w:t>
            </w:r>
            <w:r>
              <w:rPr>
                <w:rFonts w:cs="Times New Roman"/>
                <w:kern w:val="0"/>
              </w:rPr>
              <w:t>的排放量为289.56kg/a，烟尘的排放量为51.32kg。发电机尾气拟由内置专用烟道引至发电机房所在构筑物楼顶排放。</w:t>
            </w:r>
            <w:r>
              <w:rPr>
                <w:rFonts w:cs="Times New Roman"/>
              </w:rPr>
              <w:t>能够满足《非道路移动机械用柴油机排气污染物排放限值及测量方法(中国第三、四阶段）》(GB 20891-2014)中第三阶段标准要求</w:t>
            </w:r>
            <w:r>
              <w:rPr>
                <w:rFonts w:cs="Times New Roman"/>
                <w:kern w:val="0"/>
              </w:rPr>
              <w:t>。</w:t>
            </w:r>
          </w:p>
          <w:p>
            <w:pPr>
              <w:keepNext/>
              <w:ind w:firstLine="422" w:firstLineChars="200"/>
              <w:jc w:val="center"/>
              <w:rPr>
                <w:rFonts w:cs="Times New Roman"/>
                <w:b/>
                <w:sz w:val="21"/>
              </w:rPr>
            </w:pPr>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5.2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5</w:t>
            </w:r>
            <w:r>
              <w:rPr>
                <w:rFonts w:cs="Times New Roman"/>
                <w:b/>
                <w:sz w:val="21"/>
              </w:rPr>
              <w:fldChar w:fldCharType="end"/>
            </w:r>
            <w:r>
              <w:rPr>
                <w:rFonts w:cs="Times New Roman"/>
                <w:b/>
                <w:sz w:val="21"/>
              </w:rPr>
              <w:t xml:space="preserve">  备用柴油发电机燃油废气污染物产排污情况一览表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1"/>
              <w:gridCol w:w="1662"/>
              <w:gridCol w:w="1156"/>
              <w:gridCol w:w="1189"/>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5" w:type="pct"/>
                  <w:vAlign w:val="center"/>
                </w:tcPr>
                <w:p>
                  <w:pPr>
                    <w:jc w:val="center"/>
                    <w:rPr>
                      <w:rFonts w:cs="Times New Roman"/>
                      <w:sz w:val="21"/>
                    </w:rPr>
                  </w:pPr>
                  <w:r>
                    <w:rPr>
                      <w:rFonts w:cs="Times New Roman"/>
                      <w:sz w:val="21"/>
                    </w:rPr>
                    <w:t>污染物</w:t>
                  </w:r>
                </w:p>
              </w:tc>
              <w:tc>
                <w:tcPr>
                  <w:tcW w:w="1001" w:type="pct"/>
                  <w:vAlign w:val="center"/>
                </w:tcPr>
                <w:p>
                  <w:pPr>
                    <w:jc w:val="center"/>
                    <w:rPr>
                      <w:rFonts w:cs="Times New Roman"/>
                      <w:sz w:val="21"/>
                    </w:rPr>
                  </w:pPr>
                  <w:r>
                    <w:rPr>
                      <w:rFonts w:cs="Times New Roman"/>
                      <w:sz w:val="21"/>
                    </w:rPr>
                    <w:t>SO</w:t>
                  </w:r>
                  <w:r>
                    <w:rPr>
                      <w:rFonts w:cs="Times New Roman"/>
                      <w:sz w:val="21"/>
                      <w:vertAlign w:val="subscript"/>
                    </w:rPr>
                    <w:t>2</w:t>
                  </w:r>
                </w:p>
              </w:tc>
              <w:tc>
                <w:tcPr>
                  <w:tcW w:w="696" w:type="pct"/>
                  <w:vAlign w:val="center"/>
                </w:tcPr>
                <w:p>
                  <w:pPr>
                    <w:jc w:val="center"/>
                    <w:rPr>
                      <w:rFonts w:cs="Times New Roman"/>
                      <w:sz w:val="21"/>
                    </w:rPr>
                  </w:pPr>
                  <w:r>
                    <w:rPr>
                      <w:rFonts w:cs="Times New Roman"/>
                      <w:sz w:val="21"/>
                    </w:rPr>
                    <w:t>NO</w:t>
                  </w:r>
                  <w:r>
                    <w:rPr>
                      <w:rFonts w:cs="Times New Roman"/>
                      <w:kern w:val="0"/>
                      <w:vertAlign w:val="subscript"/>
                    </w:rPr>
                    <w:t>X</w:t>
                  </w:r>
                </w:p>
              </w:tc>
              <w:tc>
                <w:tcPr>
                  <w:tcW w:w="716" w:type="pct"/>
                  <w:vAlign w:val="center"/>
                </w:tcPr>
                <w:p>
                  <w:pPr>
                    <w:jc w:val="center"/>
                    <w:rPr>
                      <w:rFonts w:cs="Times New Roman"/>
                      <w:sz w:val="21"/>
                    </w:rPr>
                  </w:pPr>
                  <w:r>
                    <w:rPr>
                      <w:rFonts w:cs="Times New Roman"/>
                      <w:sz w:val="21"/>
                    </w:rPr>
                    <w:t>CO</w:t>
                  </w:r>
                </w:p>
              </w:tc>
              <w:tc>
                <w:tcPr>
                  <w:tcW w:w="700" w:type="pct"/>
                  <w:vAlign w:val="center"/>
                </w:tcPr>
                <w:p>
                  <w:pPr>
                    <w:jc w:val="center"/>
                    <w:rPr>
                      <w:rFonts w:cs="Times New Roman"/>
                      <w:sz w:val="21"/>
                    </w:rPr>
                  </w:pPr>
                  <w:r>
                    <w:rPr>
                      <w:rFonts w:cs="Times New Roman"/>
                      <w:sz w:val="21"/>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5" w:type="pct"/>
                  <w:vAlign w:val="center"/>
                </w:tcPr>
                <w:p>
                  <w:pPr>
                    <w:jc w:val="center"/>
                    <w:rPr>
                      <w:rFonts w:cs="Times New Roman"/>
                      <w:sz w:val="21"/>
                    </w:rPr>
                  </w:pPr>
                  <w:r>
                    <w:rPr>
                      <w:rFonts w:cs="Times New Roman"/>
                      <w:sz w:val="21"/>
                    </w:rPr>
                    <w:t>产生量</w:t>
                  </w:r>
                </w:p>
              </w:tc>
              <w:tc>
                <w:tcPr>
                  <w:tcW w:w="1001" w:type="pct"/>
                  <w:vAlign w:val="center"/>
                </w:tcPr>
                <w:p>
                  <w:pPr>
                    <w:jc w:val="center"/>
                    <w:rPr>
                      <w:rFonts w:cs="Times New Roman"/>
                      <w:sz w:val="21"/>
                    </w:rPr>
                  </w:pPr>
                  <w:r>
                    <w:rPr>
                      <w:rFonts w:cs="Times New Roman"/>
                      <w:sz w:val="21"/>
                    </w:rPr>
                    <w:t>289.56kg/a</w:t>
                  </w:r>
                </w:p>
              </w:tc>
              <w:tc>
                <w:tcPr>
                  <w:tcW w:w="696" w:type="pct"/>
                  <w:vAlign w:val="center"/>
                </w:tcPr>
                <w:p>
                  <w:pPr>
                    <w:jc w:val="center"/>
                    <w:rPr>
                      <w:rFonts w:cs="Times New Roman"/>
                      <w:sz w:val="21"/>
                    </w:rPr>
                  </w:pPr>
                  <w:r>
                    <w:rPr>
                      <w:rFonts w:cs="Times New Roman"/>
                      <w:sz w:val="21"/>
                    </w:rPr>
                    <w:t>186.28kg/a</w:t>
                  </w:r>
                </w:p>
              </w:tc>
              <w:tc>
                <w:tcPr>
                  <w:tcW w:w="716" w:type="pct"/>
                  <w:vAlign w:val="center"/>
                </w:tcPr>
                <w:p>
                  <w:pPr>
                    <w:jc w:val="center"/>
                    <w:rPr>
                      <w:rFonts w:cs="Times New Roman"/>
                      <w:sz w:val="21"/>
                    </w:rPr>
                  </w:pPr>
                  <w:r>
                    <w:rPr>
                      <w:rFonts w:cs="Times New Roman"/>
                      <w:sz w:val="21"/>
                    </w:rPr>
                    <w:t>109.62kg/a</w:t>
                  </w:r>
                </w:p>
              </w:tc>
              <w:tc>
                <w:tcPr>
                  <w:tcW w:w="700" w:type="pct"/>
                  <w:vAlign w:val="center"/>
                </w:tcPr>
                <w:p>
                  <w:pPr>
                    <w:jc w:val="center"/>
                    <w:rPr>
                      <w:rFonts w:cs="Times New Roman"/>
                      <w:sz w:val="21"/>
                    </w:rPr>
                  </w:pPr>
                  <w:r>
                    <w:rPr>
                      <w:rFonts w:cs="Times New Roman"/>
                      <w:sz w:val="21"/>
                    </w:rPr>
                    <w:t>51.32kg/a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5" w:type="pct"/>
                  <w:vAlign w:val="center"/>
                </w:tcPr>
                <w:p>
                  <w:pPr>
                    <w:jc w:val="center"/>
                    <w:rPr>
                      <w:rFonts w:cs="Times New Roman"/>
                      <w:sz w:val="21"/>
                    </w:rPr>
                  </w:pPr>
                  <w:r>
                    <w:rPr>
                      <w:rFonts w:cs="Times New Roman"/>
                      <w:sz w:val="21"/>
                    </w:rPr>
                    <w:t>治理措施</w:t>
                  </w:r>
                </w:p>
              </w:tc>
              <w:tc>
                <w:tcPr>
                  <w:tcW w:w="3114" w:type="pct"/>
                  <w:gridSpan w:val="4"/>
                  <w:vAlign w:val="center"/>
                </w:tcPr>
                <w:p>
                  <w:pPr>
                    <w:jc w:val="center"/>
                    <w:rPr>
                      <w:rFonts w:cs="Times New Roman"/>
                      <w:sz w:val="21"/>
                    </w:rPr>
                  </w:pPr>
                  <w:r>
                    <w:rPr>
                      <w:rFonts w:cs="Times New Roman"/>
                      <w:sz w:val="21"/>
                    </w:rPr>
                    <w:t>拟由内置专用烟道引至发电机房所在构筑物楼顶排放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5" w:type="pct"/>
                  <w:vAlign w:val="center"/>
                </w:tcPr>
                <w:p>
                  <w:pPr>
                    <w:jc w:val="center"/>
                    <w:rPr>
                      <w:rFonts w:cs="Times New Roman"/>
                      <w:sz w:val="21"/>
                    </w:rPr>
                  </w:pPr>
                  <w:r>
                    <w:rPr>
                      <w:rFonts w:cs="Times New Roman"/>
                      <w:sz w:val="21"/>
                    </w:rPr>
                    <w:t>排放量</w:t>
                  </w:r>
                </w:p>
              </w:tc>
              <w:tc>
                <w:tcPr>
                  <w:tcW w:w="1001" w:type="pct"/>
                  <w:vAlign w:val="center"/>
                </w:tcPr>
                <w:p>
                  <w:pPr>
                    <w:jc w:val="center"/>
                    <w:rPr>
                      <w:rFonts w:cs="Times New Roman"/>
                      <w:sz w:val="21"/>
                    </w:rPr>
                  </w:pPr>
                  <w:r>
                    <w:rPr>
                      <w:rFonts w:cs="Times New Roman"/>
                      <w:sz w:val="21"/>
                    </w:rPr>
                    <w:t>289.56kg/a 1.01g/kw.h</w:t>
                  </w:r>
                </w:p>
              </w:tc>
              <w:tc>
                <w:tcPr>
                  <w:tcW w:w="696" w:type="pct"/>
                  <w:vAlign w:val="center"/>
                </w:tcPr>
                <w:p>
                  <w:pPr>
                    <w:jc w:val="center"/>
                    <w:rPr>
                      <w:rFonts w:cs="Times New Roman"/>
                      <w:sz w:val="21"/>
                    </w:rPr>
                  </w:pPr>
                  <w:r>
                    <w:rPr>
                      <w:rFonts w:cs="Times New Roman"/>
                      <w:sz w:val="21"/>
                    </w:rPr>
                    <w:t>186.28kg/a 0.65g/kw.h</w:t>
                  </w:r>
                </w:p>
              </w:tc>
              <w:tc>
                <w:tcPr>
                  <w:tcW w:w="716" w:type="pct"/>
                  <w:vAlign w:val="center"/>
                </w:tcPr>
                <w:p>
                  <w:pPr>
                    <w:jc w:val="center"/>
                    <w:rPr>
                      <w:rFonts w:cs="Times New Roman"/>
                      <w:sz w:val="21"/>
                    </w:rPr>
                  </w:pPr>
                  <w:r>
                    <w:rPr>
                      <w:rFonts w:cs="Times New Roman"/>
                      <w:sz w:val="21"/>
                    </w:rPr>
                    <w:t>109.62kg/a 0.38g/kw.h</w:t>
                  </w:r>
                </w:p>
              </w:tc>
              <w:tc>
                <w:tcPr>
                  <w:tcW w:w="700" w:type="pct"/>
                  <w:vAlign w:val="center"/>
                </w:tcPr>
                <w:p>
                  <w:pPr>
                    <w:jc w:val="center"/>
                    <w:rPr>
                      <w:rFonts w:cs="Times New Roman"/>
                      <w:sz w:val="21"/>
                    </w:rPr>
                  </w:pPr>
                  <w:r>
                    <w:rPr>
                      <w:rFonts w:cs="Times New Roman"/>
                      <w:sz w:val="21"/>
                    </w:rPr>
                    <w:t>51.32kg/a 0.18g/kw.h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85" w:type="pct"/>
                  <w:vAlign w:val="center"/>
                </w:tcPr>
                <w:p>
                  <w:pPr>
                    <w:jc w:val="center"/>
                    <w:rPr>
                      <w:rFonts w:cs="Times New Roman"/>
                      <w:sz w:val="21"/>
                    </w:rPr>
                  </w:pPr>
                  <w:r>
                    <w:rPr>
                      <w:rFonts w:cs="Times New Roman"/>
                      <w:sz w:val="21"/>
                    </w:rPr>
                    <w:t>《非道路移动机械用柴油机排气污染物排放限值及测量方法》(GB 20891—2014)中第三阶段标准（g/kw.h）</w:t>
                  </w:r>
                </w:p>
              </w:tc>
              <w:tc>
                <w:tcPr>
                  <w:tcW w:w="1001" w:type="pct"/>
                  <w:vAlign w:val="center"/>
                </w:tcPr>
                <w:p>
                  <w:pPr>
                    <w:jc w:val="center"/>
                    <w:rPr>
                      <w:rFonts w:cs="Times New Roman"/>
                      <w:sz w:val="21"/>
                    </w:rPr>
                  </w:pPr>
                  <w:r>
                    <w:rPr>
                      <w:rFonts w:cs="Times New Roman"/>
                      <w:sz w:val="21"/>
                    </w:rPr>
                    <w:t>/</w:t>
                  </w:r>
                </w:p>
              </w:tc>
              <w:tc>
                <w:tcPr>
                  <w:tcW w:w="696" w:type="pct"/>
                  <w:vAlign w:val="center"/>
                </w:tcPr>
                <w:p>
                  <w:pPr>
                    <w:jc w:val="center"/>
                    <w:rPr>
                      <w:rFonts w:cs="Times New Roman"/>
                      <w:sz w:val="21"/>
                    </w:rPr>
                  </w:pPr>
                  <w:r>
                    <w:rPr>
                      <w:rFonts w:cs="Times New Roman"/>
                      <w:sz w:val="21"/>
                    </w:rPr>
                    <w:t>/</w:t>
                  </w:r>
                </w:p>
              </w:tc>
              <w:tc>
                <w:tcPr>
                  <w:tcW w:w="716" w:type="pct"/>
                  <w:vAlign w:val="center"/>
                </w:tcPr>
                <w:p>
                  <w:pPr>
                    <w:jc w:val="center"/>
                    <w:rPr>
                      <w:rFonts w:cs="Times New Roman"/>
                      <w:sz w:val="21"/>
                    </w:rPr>
                  </w:pPr>
                  <w:r>
                    <w:rPr>
                      <w:rFonts w:cs="Times New Roman"/>
                      <w:sz w:val="21"/>
                    </w:rPr>
                    <w:t>3.5</w:t>
                  </w:r>
                </w:p>
              </w:tc>
              <w:tc>
                <w:tcPr>
                  <w:tcW w:w="700" w:type="pct"/>
                  <w:vAlign w:val="center"/>
                </w:tcPr>
                <w:p>
                  <w:pPr>
                    <w:jc w:val="center"/>
                    <w:rPr>
                      <w:rFonts w:cs="Times New Roman"/>
                      <w:sz w:val="21"/>
                    </w:rPr>
                  </w:pPr>
                  <w:r>
                    <w:rPr>
                      <w:rFonts w:cs="Times New Roman"/>
                      <w:sz w:val="21"/>
                    </w:rPr>
                    <w:t>0.20</w:t>
                  </w:r>
                </w:p>
              </w:tc>
            </w:tr>
          </w:tbl>
          <w:p>
            <w:pPr>
              <w:adjustRightInd w:val="0"/>
              <w:snapToGrid w:val="0"/>
              <w:spacing w:line="360" w:lineRule="auto"/>
              <w:ind w:firstLine="480" w:firstLineChars="200"/>
              <w:rPr>
                <w:rFonts w:cs="Times New Roman"/>
                <w:bCs/>
              </w:rPr>
            </w:pPr>
            <w:r>
              <w:rPr>
                <w:rFonts w:cs="Times New Roman"/>
                <w:bCs/>
              </w:rPr>
              <w:t>（</w:t>
            </w:r>
            <w:r>
              <w:rPr>
                <w:rFonts w:hint="eastAsia" w:cs="Times New Roman"/>
                <w:bCs/>
              </w:rPr>
              <w:t>7</w:t>
            </w:r>
            <w:r>
              <w:rPr>
                <w:rFonts w:cs="Times New Roman"/>
                <w:bCs/>
              </w:rPr>
              <w:t>）停车场汽车尾气</w:t>
            </w:r>
          </w:p>
          <w:p>
            <w:pPr>
              <w:adjustRightInd w:val="0"/>
              <w:snapToGrid w:val="0"/>
              <w:spacing w:line="360" w:lineRule="auto"/>
              <w:ind w:firstLine="480" w:firstLineChars="200"/>
              <w:rPr>
                <w:rFonts w:cs="Times New Roman"/>
                <w:szCs w:val="24"/>
              </w:rPr>
            </w:pPr>
            <w:r>
              <w:rPr>
                <w:rFonts w:cs="Times New Roman"/>
                <w:szCs w:val="24"/>
              </w:rPr>
              <w:t>本项目设有地面停车位48个。根据国内外有关汽车尾气排放系数，小型汽车在低速行驶时的汽车尾气排放系数为：NO</w:t>
            </w:r>
            <w:r>
              <w:rPr>
                <w:rFonts w:cs="Times New Roman"/>
                <w:szCs w:val="24"/>
                <w:vertAlign w:val="subscript"/>
              </w:rPr>
              <w:t>X</w:t>
            </w:r>
            <w:r>
              <w:rPr>
                <w:rFonts w:cs="Times New Roman"/>
                <w:szCs w:val="24"/>
              </w:rPr>
              <w:t>：1.06g/km，CO：25.04g/km，THC：1.53g/km。按行驶距离为100m、每个车位平均每天利用4次、全年</w:t>
            </w:r>
            <w:r>
              <w:rPr>
                <w:rFonts w:hint="eastAsia" w:cs="Times New Roman"/>
                <w:szCs w:val="24"/>
              </w:rPr>
              <w:t>330</w:t>
            </w:r>
            <w:r>
              <w:rPr>
                <w:rFonts w:cs="Times New Roman"/>
                <w:szCs w:val="24"/>
              </w:rPr>
              <w:t>天计算，地面停车场NOx、CO和THC的年排放量分别为：0.00</w:t>
            </w:r>
            <w:r>
              <w:rPr>
                <w:rFonts w:hint="eastAsia" w:cs="Times New Roman"/>
                <w:szCs w:val="24"/>
              </w:rPr>
              <w:t>7</w:t>
            </w:r>
            <w:r>
              <w:rPr>
                <w:rFonts w:cs="Times New Roman"/>
                <w:szCs w:val="24"/>
              </w:rPr>
              <w:t>t/a、0.1</w:t>
            </w:r>
            <w:r>
              <w:rPr>
                <w:rFonts w:hint="eastAsia" w:cs="Times New Roman"/>
                <w:szCs w:val="24"/>
              </w:rPr>
              <w:t>6</w:t>
            </w:r>
            <w:r>
              <w:rPr>
                <w:rFonts w:cs="Times New Roman"/>
                <w:szCs w:val="24"/>
              </w:rPr>
              <w:t>t/a和0.00</w:t>
            </w:r>
            <w:r>
              <w:rPr>
                <w:rFonts w:hint="eastAsia" w:cs="Times New Roman"/>
                <w:szCs w:val="24"/>
              </w:rPr>
              <w:t>9</w:t>
            </w:r>
            <w:r>
              <w:rPr>
                <w:rFonts w:cs="Times New Roman"/>
                <w:szCs w:val="24"/>
              </w:rPr>
              <w:t>t/a。</w:t>
            </w:r>
          </w:p>
          <w:p>
            <w:pPr>
              <w:pStyle w:val="8"/>
            </w:pPr>
            <w:r>
              <w:t>噪声污染源</w:t>
            </w:r>
          </w:p>
          <w:p>
            <w:pPr>
              <w:spacing w:line="360" w:lineRule="auto"/>
              <w:ind w:firstLine="480" w:firstLineChars="200"/>
              <w:rPr>
                <w:rFonts w:cs="Times New Roman"/>
                <w:bCs/>
              </w:rPr>
            </w:pPr>
            <w:r>
              <w:rPr>
                <w:rFonts w:cs="Times New Roman"/>
              </w:rPr>
              <w:t>本项目营运期噪声主要来源于</w:t>
            </w:r>
            <w:r>
              <w:rPr>
                <w:rFonts w:cs="Times New Roman"/>
                <w:bCs/>
              </w:rPr>
              <w:t>砼生产线、装载机、变压器等，根据类比同类企业可知，项目运营期间设备产生的噪声级如下表所示。</w:t>
            </w:r>
          </w:p>
          <w:p>
            <w:pPr>
              <w:keepNext/>
              <w:ind w:firstLine="422" w:firstLineChars="200"/>
              <w:jc w:val="center"/>
              <w:rPr>
                <w:rFonts w:cs="Times New Roman"/>
                <w:b/>
                <w:sz w:val="21"/>
              </w:rPr>
            </w:pPr>
            <w:r>
              <w:rPr>
                <w:rFonts w:cs="Times New Roman"/>
                <w:b/>
                <w:bCs/>
                <w:sz w:val="21"/>
              </w:rPr>
              <w:t xml:space="preserve">表5.2-6 </w:t>
            </w:r>
            <w:r>
              <w:rPr>
                <w:rFonts w:cs="Times New Roman"/>
                <w:b/>
                <w:sz w:val="21"/>
              </w:rPr>
              <w:t>噪声源一览表  单位：dB（A）</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851"/>
              <w:gridCol w:w="2084"/>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噪声源</w:t>
                  </w:r>
                </w:p>
              </w:tc>
              <w:tc>
                <w:tcPr>
                  <w:tcW w:w="1255"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数量</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sz w:val="21"/>
                    </w:rPr>
                  </w:pPr>
                  <w:r>
                    <w:rPr>
                      <w:rFonts w:hint="eastAsia" w:cs="Times New Roman"/>
                      <w:bCs/>
                      <w:kern w:val="0"/>
                      <w:sz w:val="21"/>
                    </w:rPr>
                    <w:t>搅拌主机</w:t>
                  </w:r>
                </w:p>
              </w:tc>
              <w:tc>
                <w:tcPr>
                  <w:tcW w:w="1255" w:type="pct"/>
                  <w:tcBorders>
                    <w:top w:val="single" w:color="auto" w:sz="4" w:space="0"/>
                    <w:left w:val="nil"/>
                    <w:bottom w:val="single" w:color="auto" w:sz="4" w:space="0"/>
                    <w:right w:val="single" w:color="auto" w:sz="4" w:space="0"/>
                  </w:tcBorders>
                </w:tcPr>
                <w:p>
                  <w:pPr>
                    <w:spacing w:line="240" w:lineRule="atLeast"/>
                    <w:jc w:val="center"/>
                    <w:rPr>
                      <w:rFonts w:cs="Times New Roman"/>
                      <w:sz w:val="21"/>
                    </w:rPr>
                  </w:pPr>
                  <w:r>
                    <w:rPr>
                      <w:rFonts w:cs="Times New Roman"/>
                      <w:sz w:val="21"/>
                    </w:rPr>
                    <w:t>2套</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bCs/>
                      <w:kern w:val="0"/>
                      <w:sz w:val="21"/>
                    </w:rPr>
                  </w:pPr>
                  <w:r>
                    <w:rPr>
                      <w:rFonts w:hint="eastAsia" w:cs="Times New Roman"/>
                      <w:bCs/>
                      <w:kern w:val="0"/>
                      <w:sz w:val="21"/>
                    </w:rPr>
                    <w:t>出料斗</w:t>
                  </w:r>
                </w:p>
              </w:tc>
              <w:tc>
                <w:tcPr>
                  <w:tcW w:w="2220" w:type="dxa"/>
                  <w:tcBorders>
                    <w:top w:val="single" w:color="auto" w:sz="4" w:space="0"/>
                    <w:left w:val="nil"/>
                    <w:bottom w:val="single" w:color="auto" w:sz="4" w:space="0"/>
                    <w:right w:val="single" w:color="auto" w:sz="4" w:space="0"/>
                  </w:tcBorders>
                  <w:vAlign w:val="center"/>
                </w:tcPr>
                <w:p>
                  <w:pPr>
                    <w:jc w:val="center"/>
                    <w:rPr>
                      <w:rFonts w:cs="Times New Roman"/>
                      <w:sz w:val="21"/>
                    </w:rPr>
                  </w:pPr>
                  <w:r>
                    <w:rPr>
                      <w:rFonts w:hint="eastAsia" w:cs="Times New Roman"/>
                      <w:sz w:val="21"/>
                    </w:rPr>
                    <w:t>2套</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hint="eastAsia" w:cs="Times New Roman"/>
                      <w:sz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bCs/>
                      <w:kern w:val="0"/>
                      <w:sz w:val="21"/>
                    </w:rPr>
                  </w:pPr>
                  <w:r>
                    <w:rPr>
                      <w:rFonts w:hint="eastAsia" w:cs="Times New Roman"/>
                      <w:bCs/>
                      <w:kern w:val="0"/>
                      <w:sz w:val="21"/>
                    </w:rPr>
                    <w:t>卸料装置</w:t>
                  </w:r>
                </w:p>
              </w:tc>
              <w:tc>
                <w:tcPr>
                  <w:tcW w:w="2220" w:type="dxa"/>
                  <w:tcBorders>
                    <w:top w:val="single" w:color="auto" w:sz="4" w:space="0"/>
                    <w:left w:val="nil"/>
                    <w:bottom w:val="single" w:color="auto" w:sz="4" w:space="0"/>
                    <w:right w:val="single" w:color="auto" w:sz="4" w:space="0"/>
                  </w:tcBorders>
                  <w:vAlign w:val="center"/>
                </w:tcPr>
                <w:p>
                  <w:pPr>
                    <w:jc w:val="center"/>
                    <w:rPr>
                      <w:rFonts w:cs="Times New Roman"/>
                      <w:sz w:val="21"/>
                    </w:rPr>
                  </w:pPr>
                  <w:r>
                    <w:rPr>
                      <w:rFonts w:hint="eastAsia" w:cs="Times New Roman"/>
                      <w:sz w:val="21"/>
                    </w:rPr>
                    <w:t>2套</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hint="eastAsia" w:cs="Times New Roman"/>
                      <w:sz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bCs/>
                      <w:kern w:val="0"/>
                      <w:sz w:val="21"/>
                    </w:rPr>
                  </w:pPr>
                  <w:r>
                    <w:rPr>
                      <w:rFonts w:hint="eastAsia" w:cs="Times New Roman"/>
                      <w:bCs/>
                      <w:kern w:val="0"/>
                      <w:sz w:val="21"/>
                    </w:rPr>
                    <w:t>水泥称量装置</w:t>
                  </w:r>
                </w:p>
              </w:tc>
              <w:tc>
                <w:tcPr>
                  <w:tcW w:w="2220" w:type="dxa"/>
                  <w:tcBorders>
                    <w:top w:val="single" w:color="auto" w:sz="4" w:space="0"/>
                    <w:left w:val="nil"/>
                    <w:bottom w:val="single" w:color="auto" w:sz="4" w:space="0"/>
                    <w:right w:val="single" w:color="auto" w:sz="4" w:space="0"/>
                  </w:tcBorders>
                  <w:vAlign w:val="center"/>
                </w:tcPr>
                <w:p>
                  <w:pPr>
                    <w:jc w:val="center"/>
                    <w:rPr>
                      <w:rFonts w:cs="Times New Roman"/>
                      <w:sz w:val="21"/>
                    </w:rPr>
                  </w:pPr>
                  <w:r>
                    <w:rPr>
                      <w:rFonts w:hint="eastAsia" w:cs="Times New Roman"/>
                      <w:sz w:val="21"/>
                    </w:rPr>
                    <w:t>2套</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hint="eastAsia" w:cs="Times New Roman"/>
                      <w:sz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bCs/>
                      <w:kern w:val="0"/>
                      <w:sz w:val="21"/>
                    </w:rPr>
                  </w:pPr>
                  <w:r>
                    <w:rPr>
                      <w:rFonts w:hint="eastAsia" w:cs="Times New Roman"/>
                      <w:bCs/>
                      <w:kern w:val="0"/>
                      <w:sz w:val="21"/>
                    </w:rPr>
                    <w:t>粉煤灰称量装置</w:t>
                  </w:r>
                </w:p>
              </w:tc>
              <w:tc>
                <w:tcPr>
                  <w:tcW w:w="2220" w:type="dxa"/>
                  <w:tcBorders>
                    <w:top w:val="single" w:color="auto" w:sz="4" w:space="0"/>
                    <w:left w:val="nil"/>
                    <w:bottom w:val="single" w:color="auto" w:sz="4" w:space="0"/>
                    <w:right w:val="single" w:color="auto" w:sz="4" w:space="0"/>
                  </w:tcBorders>
                  <w:vAlign w:val="center"/>
                </w:tcPr>
                <w:p>
                  <w:pPr>
                    <w:jc w:val="center"/>
                    <w:rPr>
                      <w:rFonts w:cs="Times New Roman"/>
                      <w:sz w:val="21"/>
                    </w:rPr>
                  </w:pPr>
                  <w:r>
                    <w:rPr>
                      <w:rFonts w:hint="eastAsia" w:cs="Times New Roman"/>
                      <w:sz w:val="21"/>
                    </w:rPr>
                    <w:t>2套</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hint="eastAsia" w:cs="Times New Roman"/>
                      <w:sz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bCs/>
                      <w:kern w:val="0"/>
                      <w:sz w:val="21"/>
                    </w:rPr>
                  </w:pPr>
                  <w:r>
                    <w:rPr>
                      <w:rFonts w:cs="宋体" w:asciiTheme="minorEastAsia" w:hAnsiTheme="minorEastAsia"/>
                      <w:sz w:val="21"/>
                      <w:szCs w:val="22"/>
                    </w:rPr>
                    <w:t>矿粉称量装置</w:t>
                  </w:r>
                </w:p>
              </w:tc>
              <w:tc>
                <w:tcPr>
                  <w:tcW w:w="2220" w:type="dxa"/>
                  <w:tcBorders>
                    <w:top w:val="single" w:color="auto" w:sz="4" w:space="0"/>
                    <w:left w:val="nil"/>
                    <w:bottom w:val="single" w:color="auto" w:sz="4" w:space="0"/>
                    <w:right w:val="single" w:color="auto" w:sz="4" w:space="0"/>
                  </w:tcBorders>
                  <w:vAlign w:val="center"/>
                </w:tcPr>
                <w:p>
                  <w:pPr>
                    <w:jc w:val="center"/>
                    <w:rPr>
                      <w:rFonts w:cs="Times New Roman"/>
                      <w:sz w:val="21"/>
                    </w:rPr>
                  </w:pPr>
                  <w:r>
                    <w:rPr>
                      <w:rFonts w:hint="eastAsia" w:cs="Times New Roman"/>
                      <w:sz w:val="21"/>
                    </w:rPr>
                    <w:t>2套</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hint="eastAsia" w:cs="Times New Roman"/>
                      <w:sz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7"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sz w:val="21"/>
                    </w:rPr>
                  </w:pPr>
                  <w:r>
                    <w:rPr>
                      <w:rFonts w:cs="Times New Roman"/>
                      <w:bCs/>
                      <w:kern w:val="0"/>
                      <w:sz w:val="21"/>
                    </w:rPr>
                    <w:t>地磅</w:t>
                  </w:r>
                </w:p>
              </w:tc>
              <w:tc>
                <w:tcPr>
                  <w:tcW w:w="1255" w:type="pct"/>
                  <w:tcBorders>
                    <w:top w:val="single" w:color="auto" w:sz="4" w:space="0"/>
                    <w:left w:val="nil"/>
                    <w:bottom w:val="single" w:color="auto" w:sz="4" w:space="0"/>
                    <w:right w:val="single" w:color="auto" w:sz="4" w:space="0"/>
                  </w:tcBorders>
                </w:tcPr>
                <w:p>
                  <w:pPr>
                    <w:spacing w:line="240" w:lineRule="atLeast"/>
                    <w:jc w:val="center"/>
                    <w:rPr>
                      <w:rFonts w:cs="Times New Roman"/>
                      <w:sz w:val="21"/>
                    </w:rPr>
                  </w:pPr>
                  <w:r>
                    <w:rPr>
                      <w:rFonts w:cs="Times New Roman"/>
                      <w:sz w:val="21"/>
                    </w:rPr>
                    <w:t>1台</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sz w:val="21"/>
                    </w:rPr>
                  </w:pPr>
                  <w:r>
                    <w:rPr>
                      <w:rFonts w:cs="Times New Roman"/>
                      <w:bCs/>
                      <w:kern w:val="0"/>
                      <w:sz w:val="21"/>
                    </w:rPr>
                    <w:t>装载机</w:t>
                  </w:r>
                </w:p>
              </w:tc>
              <w:tc>
                <w:tcPr>
                  <w:tcW w:w="1255" w:type="pct"/>
                  <w:tcBorders>
                    <w:top w:val="single" w:color="auto" w:sz="4" w:space="0"/>
                    <w:left w:val="nil"/>
                    <w:bottom w:val="single" w:color="auto" w:sz="4" w:space="0"/>
                    <w:right w:val="single" w:color="auto" w:sz="4" w:space="0"/>
                  </w:tcBorders>
                </w:tcPr>
                <w:p>
                  <w:pPr>
                    <w:spacing w:line="240" w:lineRule="atLeast"/>
                    <w:jc w:val="center"/>
                    <w:rPr>
                      <w:rFonts w:cs="Times New Roman"/>
                      <w:sz w:val="21"/>
                    </w:rPr>
                  </w:pPr>
                  <w:r>
                    <w:rPr>
                      <w:rFonts w:cs="Times New Roman"/>
                      <w:sz w:val="21"/>
                    </w:rPr>
                    <w:t>2台</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洗车机</w:t>
                  </w:r>
                </w:p>
              </w:tc>
              <w:tc>
                <w:tcPr>
                  <w:tcW w:w="1255" w:type="pct"/>
                  <w:tcBorders>
                    <w:top w:val="single" w:color="auto" w:sz="4" w:space="0"/>
                    <w:left w:val="nil"/>
                    <w:bottom w:val="single" w:color="auto" w:sz="4" w:space="0"/>
                    <w:right w:val="single" w:color="auto" w:sz="4" w:space="0"/>
                  </w:tcBorders>
                </w:tcPr>
                <w:p>
                  <w:pPr>
                    <w:spacing w:line="240" w:lineRule="atLeast"/>
                    <w:jc w:val="center"/>
                    <w:rPr>
                      <w:rFonts w:cs="Times New Roman"/>
                      <w:sz w:val="21"/>
                    </w:rPr>
                  </w:pPr>
                  <w:r>
                    <w:rPr>
                      <w:rFonts w:cs="Times New Roman"/>
                      <w:sz w:val="21"/>
                    </w:rPr>
                    <w:t>1套</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pStyle w:val="82"/>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砂石分离机</w:t>
                  </w:r>
                </w:p>
              </w:tc>
              <w:tc>
                <w:tcPr>
                  <w:tcW w:w="1255" w:type="pct"/>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cs="Times New Roman"/>
                      <w:sz w:val="21"/>
                    </w:rPr>
                  </w:pPr>
                  <w:r>
                    <w:rPr>
                      <w:rFonts w:cs="Times New Roman"/>
                      <w:sz w:val="21"/>
                    </w:rPr>
                    <w:t>1套</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1718" w:type="pct"/>
                  <w:tcBorders>
                    <w:top w:val="single" w:color="auto" w:sz="4" w:space="0"/>
                    <w:left w:val="single" w:color="auto" w:sz="4" w:space="0"/>
                    <w:bottom w:val="single" w:color="auto" w:sz="4" w:space="0"/>
                    <w:right w:val="single" w:color="auto" w:sz="4" w:space="0"/>
                  </w:tcBorders>
                  <w:vAlign w:val="center"/>
                </w:tcPr>
                <w:p>
                  <w:pPr>
                    <w:pStyle w:val="82"/>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低压打料系统</w:t>
                  </w:r>
                </w:p>
              </w:tc>
              <w:tc>
                <w:tcPr>
                  <w:tcW w:w="1255" w:type="pct"/>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cs="Times New Roman"/>
                      <w:sz w:val="21"/>
                    </w:rPr>
                  </w:pPr>
                  <w:r>
                    <w:rPr>
                      <w:rFonts w:cs="Times New Roman"/>
                      <w:sz w:val="21"/>
                    </w:rPr>
                    <w:t>1套</w:t>
                  </w:r>
                </w:p>
              </w:tc>
              <w:tc>
                <w:tcPr>
                  <w:tcW w:w="2026" w:type="pct"/>
                  <w:tcBorders>
                    <w:top w:val="single" w:color="auto" w:sz="4" w:space="0"/>
                    <w:left w:val="nil"/>
                    <w:bottom w:val="single" w:color="auto" w:sz="4" w:space="0"/>
                    <w:right w:val="single" w:color="auto" w:sz="4" w:space="0"/>
                  </w:tcBorders>
                  <w:vAlign w:val="center"/>
                </w:tcPr>
                <w:p>
                  <w:pPr>
                    <w:spacing w:line="240" w:lineRule="atLeast"/>
                    <w:jc w:val="center"/>
                    <w:rPr>
                      <w:rFonts w:cs="Times New Roman"/>
                      <w:sz w:val="21"/>
                    </w:rPr>
                  </w:pPr>
                  <w:r>
                    <w:rPr>
                      <w:rFonts w:cs="Times New Roman"/>
                      <w:sz w:val="21"/>
                    </w:rPr>
                    <w:t>80</w:t>
                  </w:r>
                </w:p>
              </w:tc>
            </w:tr>
          </w:tbl>
          <w:p>
            <w:pPr>
              <w:pStyle w:val="8"/>
            </w:pPr>
            <w:r>
              <w:t>固体废物</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cs="Times New Roman"/>
              </w:rPr>
              <w:t>本项目营运期产生的固体废物主要为一般工业固废、危险固废和生活垃圾。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cs="Times New Roman"/>
              </w:rPr>
              <w:t>（1）除尘器收集的粉尘</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cs="Times New Roman"/>
              </w:rPr>
              <w:t>根据工程分析计算可知，项目在搅拌机和筒仓工序收集的粉尘量约为310.3t/a，均回用于生产。</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cs="Times New Roman"/>
              </w:rPr>
              <w:t>（2）砂石分离机分离后的砂石</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cs="Times New Roman"/>
              </w:rPr>
              <w:t>砂石分离机处理项目部分清洗废水和废料时会产生砂石，根据建设单位提供的资料及类比同类项目可知，预计产生量约为</w:t>
            </w:r>
            <w:r>
              <w:rPr>
                <w:rFonts w:hint="eastAsia" w:cs="Times New Roman"/>
              </w:rPr>
              <w:t>900</w:t>
            </w:r>
            <w:r>
              <w:rPr>
                <w:rFonts w:cs="Times New Roman"/>
              </w:rPr>
              <w:t>t/a，全部回用于生产，不外排。</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cs="Times New Roman"/>
              </w:rPr>
              <w:t>（3）沉淀池沉淀泥沙</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cs="Times New Roman"/>
              </w:rPr>
              <w:t>本项目沉淀池产生的沉淀物主要为砂料，产生量按每沉淀1m</w:t>
            </w:r>
            <w:r>
              <w:rPr>
                <w:rFonts w:cs="Times New Roman"/>
                <w:vertAlign w:val="superscript"/>
              </w:rPr>
              <w:t>3</w:t>
            </w:r>
            <w:r>
              <w:rPr>
                <w:rFonts w:cs="Times New Roman"/>
              </w:rPr>
              <w:t>水产生50g计，根据项目水量平衡图，本项目每年排入沉淀池水量为</w:t>
            </w:r>
            <w:r>
              <w:rPr>
                <w:rFonts w:hint="eastAsia" w:cs="Times New Roman"/>
              </w:rPr>
              <w:t>45440</w:t>
            </w:r>
            <w:r>
              <w:rPr>
                <w:rFonts w:cs="Times New Roman"/>
              </w:rPr>
              <w:t>m</w:t>
            </w:r>
            <w:r>
              <w:rPr>
                <w:rFonts w:cs="Times New Roman"/>
                <w:vertAlign w:val="superscript"/>
              </w:rPr>
              <w:t>3</w:t>
            </w:r>
            <w:r>
              <w:rPr>
                <w:rFonts w:cs="Times New Roman"/>
              </w:rPr>
              <w:t>，则沉淀池沉淀物年产生量为</w:t>
            </w:r>
            <w:r>
              <w:rPr>
                <w:rFonts w:hint="eastAsia" w:cs="Times New Roman"/>
              </w:rPr>
              <w:t>2</w:t>
            </w:r>
            <w:r>
              <w:rPr>
                <w:rFonts w:cs="Times New Roman"/>
              </w:rPr>
              <w:t>.2</w:t>
            </w:r>
            <w:r>
              <w:rPr>
                <w:rFonts w:hint="eastAsia" w:cs="Times New Roman"/>
              </w:rPr>
              <w:t>7</w:t>
            </w:r>
            <w:r>
              <w:rPr>
                <w:rFonts w:cs="Times New Roman"/>
              </w:rPr>
              <w:t>t/a。可定期进行清理后返回生产工序进行生产使用。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cs="Times New Roman"/>
              </w:rPr>
              <w:t>（4）实验废料</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cs="Times New Roman"/>
              </w:rPr>
            </w:pPr>
            <w:r>
              <w:rPr>
                <w:rFonts w:cs="Times New Roman"/>
              </w:rPr>
              <w:t>本项目实验室仅对混凝土强度进行检测，均为物理实验，只产生实验后的混凝土废料。依据建设单位提供的资料，项目每年原料和混凝土实验量为</w:t>
            </w:r>
            <w:r>
              <w:rPr>
                <w:rFonts w:hint="eastAsia" w:cs="Times New Roman"/>
                <w:lang w:val="en-US" w:eastAsia="zh-CN"/>
              </w:rPr>
              <w:t>500</w:t>
            </w:r>
            <w:r>
              <w:rPr>
                <w:rFonts w:cs="Times New Roman"/>
              </w:rPr>
              <w:t>t，实验室完成后实验废料送至砂石分离机处理，其中的砂石回收利用，浆液流入沉淀处理后回用。</w:t>
            </w:r>
          </w:p>
          <w:p>
            <w:pPr>
              <w:pStyle w:val="147"/>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eastAsiaTheme="minorEastAsia"/>
                <w:sz w:val="24"/>
              </w:rPr>
            </w:pPr>
            <w:r>
              <w:rPr>
                <w:rFonts w:eastAsiaTheme="minorEastAsia"/>
              </w:rPr>
              <w:t>（5</w:t>
            </w:r>
            <w:r>
              <w:rPr>
                <w:rFonts w:eastAsiaTheme="minorEastAsia"/>
                <w:sz w:val="24"/>
              </w:rPr>
              <w:t>）废润滑油、废油桶、含油抹布及手套</w:t>
            </w:r>
          </w:p>
          <w:p>
            <w:pPr>
              <w:pStyle w:val="113"/>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ascii="Times New Roman" w:hAnsi="Times New Roman" w:cs="Times New Roman"/>
              </w:rPr>
            </w:pPr>
            <w:r>
              <w:rPr>
                <w:rFonts w:ascii="Times New Roman" w:hAnsi="Times New Roman" w:cs="Times New Roman"/>
              </w:rPr>
              <w:t>本项目在机械维修及维护过程中会产生废润滑油、废油桶、含油抹布及手套。</w:t>
            </w:r>
          </w:p>
          <w:p>
            <w:pPr>
              <w:pStyle w:val="113"/>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ascii="Times New Roman" w:hAnsi="Times New Roman" w:cs="Times New Roman"/>
              </w:rPr>
            </w:pPr>
            <w:r>
              <w:rPr>
                <w:rFonts w:ascii="Times New Roman" w:hAnsi="Times New Roman" w:cs="Times New Roman"/>
              </w:rPr>
              <w:t>根据建设单位提供的资料及类比同类型项目可知，含油抹布及手套的产生量为0.2t/a；废润滑油和机油的产生量为0.001t/a。</w:t>
            </w:r>
          </w:p>
          <w:p>
            <w:pPr>
              <w:pStyle w:val="113"/>
              <w:keepNext w:val="0"/>
              <w:keepLines w:val="0"/>
              <w:pageBreakBefore w:val="0"/>
              <w:kinsoku/>
              <w:wordWrap/>
              <w:overflowPunct/>
              <w:topLinePunct w:val="0"/>
              <w:autoSpaceDE/>
              <w:autoSpaceDN/>
              <w:bidi w:val="0"/>
              <w:adjustRightInd w:val="0"/>
              <w:snapToGrid w:val="0"/>
              <w:spacing w:before="0" w:line="360" w:lineRule="auto"/>
              <w:ind w:firstLine="480"/>
              <w:textAlignment w:val="auto"/>
              <w:rPr>
                <w:rFonts w:ascii="Times New Roman" w:hAnsi="Times New Roman" w:cs="Times New Roman"/>
              </w:rPr>
            </w:pPr>
            <w:r>
              <w:rPr>
                <w:rFonts w:ascii="Times New Roman" w:hAnsi="Times New Roman" w:cs="Times New Roman"/>
              </w:rPr>
              <w:t>（6）生活垃圾</w:t>
            </w:r>
          </w:p>
          <w:p>
            <w:pPr>
              <w:pStyle w:val="113"/>
              <w:keepNext w:val="0"/>
              <w:keepLines w:val="0"/>
              <w:pageBreakBefore w:val="0"/>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rPr>
            </w:pPr>
            <w:r>
              <w:rPr>
                <w:rFonts w:ascii="Times New Roman" w:hAnsi="Times New Roman" w:cs="Times New Roman"/>
              </w:rPr>
              <w:t>本项目员工</w:t>
            </w:r>
            <w:r>
              <w:rPr>
                <w:rFonts w:hint="eastAsia" w:ascii="Times New Roman" w:hAnsi="Times New Roman" w:cs="Times New Roman"/>
              </w:rPr>
              <w:t>28</w:t>
            </w:r>
            <w:r>
              <w:rPr>
                <w:rFonts w:ascii="Times New Roman" w:hAnsi="Times New Roman" w:cs="Times New Roman"/>
              </w:rPr>
              <w:t>人，生活垃圾产生量以0.5kg/(d·人)计，生活垃圾产生量约1</w:t>
            </w:r>
            <w:r>
              <w:rPr>
                <w:rFonts w:hint="eastAsia" w:ascii="Times New Roman" w:hAnsi="Times New Roman" w:cs="Times New Roman"/>
              </w:rPr>
              <w:t>4</w:t>
            </w:r>
            <w:r>
              <w:rPr>
                <w:rFonts w:ascii="Times New Roman" w:hAnsi="Times New Roman" w:cs="Times New Roman"/>
              </w:rPr>
              <w:t>kg/d，4.</w:t>
            </w:r>
            <w:r>
              <w:rPr>
                <w:rFonts w:hint="eastAsia" w:ascii="Times New Roman" w:hAnsi="Times New Roman" w:cs="Times New Roman"/>
              </w:rPr>
              <w:t>62</w:t>
            </w:r>
            <w:r>
              <w:rPr>
                <w:rFonts w:ascii="Times New Roman" w:hAnsi="Times New Roman" w:cs="Times New Roman"/>
              </w:rPr>
              <w:t>t/a，经统一收集后，由当地环卫部门收集处理。</w:t>
            </w:r>
          </w:p>
          <w:p>
            <w:pPr>
              <w:pStyle w:val="113"/>
              <w:spacing w:line="360" w:lineRule="auto"/>
              <w:ind w:firstLine="480"/>
              <w:rPr>
                <w:rFonts w:ascii="Times New Roman" w:hAnsi="Times New Roman" w:cs="Times New Roman"/>
              </w:rPr>
            </w:pPr>
          </w:p>
          <w:p>
            <w:pPr>
              <w:pStyle w:val="113"/>
              <w:spacing w:line="360" w:lineRule="auto"/>
              <w:ind w:firstLine="480"/>
              <w:rPr>
                <w:rFonts w:ascii="Times New Roman" w:hAnsi="Times New Roman" w:cs="Times New Roman"/>
              </w:rPr>
            </w:pPr>
          </w:p>
          <w:p>
            <w:pPr>
              <w:pStyle w:val="113"/>
              <w:spacing w:line="360" w:lineRule="auto"/>
              <w:ind w:firstLine="480"/>
              <w:rPr>
                <w:rFonts w:ascii="Times New Roman" w:hAnsi="Times New Roman" w:cs="Times New Roman"/>
              </w:rPr>
            </w:pPr>
          </w:p>
          <w:p>
            <w:pPr>
              <w:pStyle w:val="113"/>
              <w:spacing w:line="360" w:lineRule="auto"/>
              <w:ind w:firstLine="0" w:firstLineChars="0"/>
              <w:rPr>
                <w:rFonts w:ascii="Times New Roman" w:hAnsi="Times New Roman" w:cs="Times New Roman"/>
              </w:rPr>
            </w:pPr>
          </w:p>
        </w:tc>
      </w:tr>
    </w:tbl>
    <w:p>
      <w:pPr>
        <w:rPr>
          <w:rFonts w:cs="Times New Roman"/>
          <w:color w:val="000000" w:themeColor="text1"/>
        </w:rPr>
      </w:pPr>
      <w:bookmarkStart w:id="18" w:name="_Toc25585"/>
      <w:r>
        <w:rPr>
          <w:rFonts w:cs="Times New Roman"/>
          <w:color w:val="000000" w:themeColor="text1"/>
        </w:rPr>
        <w:br w:type="page"/>
      </w:r>
    </w:p>
    <w:p>
      <w:pPr>
        <w:pStyle w:val="4"/>
        <w:rPr>
          <w:rFonts w:cs="Times New Roman" w:eastAsiaTheme="minorEastAsia"/>
          <w:color w:val="000000" w:themeColor="text1"/>
        </w:rPr>
      </w:pPr>
      <w:r>
        <w:rPr>
          <w:rFonts w:cs="Times New Roman" w:eastAsiaTheme="minorEastAsia"/>
          <w:color w:val="000000" w:themeColor="text1"/>
        </w:rPr>
        <w:t>项目主要污染物产生及预计排放情况</w:t>
      </w:r>
      <w:bookmarkEnd w:id="18"/>
    </w:p>
    <w:tbl>
      <w:tblPr>
        <w:tblStyle w:val="33"/>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4"/>
        <w:gridCol w:w="573"/>
        <w:gridCol w:w="1787"/>
        <w:gridCol w:w="1469"/>
        <w:gridCol w:w="1813"/>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81" w:type="pct"/>
            <w:gridSpan w:val="2"/>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类型</w:t>
            </w:r>
          </w:p>
        </w:tc>
        <w:tc>
          <w:tcPr>
            <w:tcW w:w="107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排放源</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污染物名称</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处理前产生浓度</w:t>
            </w:r>
          </w:p>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及产生量</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处理后排放浓度</w:t>
            </w:r>
          </w:p>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施工期</w:t>
            </w:r>
          </w:p>
        </w:tc>
        <w:tc>
          <w:tcPr>
            <w:tcW w:w="342"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废水</w:t>
            </w:r>
          </w:p>
        </w:tc>
        <w:tc>
          <w:tcPr>
            <w:tcW w:w="107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highlight w:val="yellow"/>
              </w:rPr>
            </w:pPr>
            <w:r>
              <w:rPr>
                <w:rFonts w:ascii="Times New Roman" w:hAnsi="Times New Roman" w:eastAsiaTheme="minorEastAsia"/>
                <w:szCs w:val="21"/>
              </w:rPr>
              <w:t>施工废水</w:t>
            </w:r>
          </w:p>
        </w:tc>
        <w:tc>
          <w:tcPr>
            <w:tcW w:w="88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SS</w:t>
            </w:r>
          </w:p>
        </w:tc>
        <w:tc>
          <w:tcPr>
            <w:tcW w:w="1085"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500~1000mg/L</w:t>
            </w:r>
          </w:p>
        </w:tc>
        <w:tc>
          <w:tcPr>
            <w:tcW w:w="1281"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经沉淀池处理后循环使用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restar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生活污水</w:t>
            </w:r>
          </w:p>
        </w:tc>
        <w:tc>
          <w:tcPr>
            <w:tcW w:w="88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COD</w:t>
            </w:r>
          </w:p>
        </w:tc>
        <w:tc>
          <w:tcPr>
            <w:tcW w:w="1085"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0.55kg/d</w:t>
            </w:r>
          </w:p>
        </w:tc>
        <w:tc>
          <w:tcPr>
            <w:tcW w:w="1281" w:type="pct"/>
            <w:vMerge w:val="restar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经隔油池及化粪池处理后进入湖南城陵矶临港产业新区污水处理厂处理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BOD</w:t>
            </w:r>
            <w:r>
              <w:rPr>
                <w:rFonts w:ascii="Times New Roman" w:hAnsi="Times New Roman" w:eastAsiaTheme="minorEastAsia"/>
                <w:szCs w:val="21"/>
                <w:vertAlign w:val="subscript"/>
              </w:rPr>
              <w:t>5</w:t>
            </w:r>
          </w:p>
        </w:tc>
        <w:tc>
          <w:tcPr>
            <w:tcW w:w="1085"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0.29kg/d</w:t>
            </w:r>
          </w:p>
        </w:tc>
        <w:tc>
          <w:tcPr>
            <w:tcW w:w="1281" w:type="pct"/>
            <w:vMerge w:val="continue"/>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动植物油</w:t>
            </w:r>
          </w:p>
        </w:tc>
        <w:tc>
          <w:tcPr>
            <w:tcW w:w="1085"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0.24kg/d</w:t>
            </w:r>
          </w:p>
        </w:tc>
        <w:tc>
          <w:tcPr>
            <w:tcW w:w="1281" w:type="pct"/>
            <w:vMerge w:val="continue"/>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SS</w:t>
            </w:r>
          </w:p>
        </w:tc>
        <w:tc>
          <w:tcPr>
            <w:tcW w:w="1085"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0.43kg/h</w:t>
            </w:r>
          </w:p>
        </w:tc>
        <w:tc>
          <w:tcPr>
            <w:tcW w:w="1281" w:type="pct"/>
            <w:vMerge w:val="continue"/>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废气</w:t>
            </w:r>
          </w:p>
        </w:tc>
        <w:tc>
          <w:tcPr>
            <w:tcW w:w="107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施工扬尘</w:t>
            </w:r>
          </w:p>
        </w:tc>
        <w:tc>
          <w:tcPr>
            <w:tcW w:w="88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颗粒物</w:t>
            </w:r>
          </w:p>
        </w:tc>
        <w:tc>
          <w:tcPr>
            <w:tcW w:w="1085"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少量</w:t>
            </w:r>
          </w:p>
        </w:tc>
        <w:tc>
          <w:tcPr>
            <w:tcW w:w="1281"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汽车尾气</w:t>
            </w:r>
          </w:p>
        </w:tc>
        <w:tc>
          <w:tcPr>
            <w:tcW w:w="88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CO、NOx、THC</w:t>
            </w:r>
          </w:p>
        </w:tc>
        <w:tc>
          <w:tcPr>
            <w:tcW w:w="1085"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少量</w:t>
            </w:r>
          </w:p>
        </w:tc>
        <w:tc>
          <w:tcPr>
            <w:tcW w:w="1281"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固废</w:t>
            </w:r>
          </w:p>
        </w:tc>
        <w:tc>
          <w:tcPr>
            <w:tcW w:w="107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highlight w:val="yellow"/>
              </w:rPr>
            </w:pPr>
            <w:r>
              <w:rPr>
                <w:rFonts w:ascii="Times New Roman" w:hAnsi="Times New Roman" w:eastAsiaTheme="minorEastAsia"/>
                <w:szCs w:val="21"/>
              </w:rPr>
              <w:t>建筑垃圾</w:t>
            </w:r>
          </w:p>
        </w:tc>
        <w:tc>
          <w:tcPr>
            <w:tcW w:w="88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w:t>
            </w:r>
          </w:p>
        </w:tc>
        <w:tc>
          <w:tcPr>
            <w:tcW w:w="1085"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360t</w:t>
            </w:r>
          </w:p>
        </w:tc>
        <w:tc>
          <w:tcPr>
            <w:tcW w:w="1281"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分类收集，由当地环卫部分集中处置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生活垃圾</w:t>
            </w:r>
          </w:p>
        </w:tc>
        <w:tc>
          <w:tcPr>
            <w:tcW w:w="880"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w:t>
            </w:r>
          </w:p>
        </w:tc>
        <w:tc>
          <w:tcPr>
            <w:tcW w:w="1085"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50kg/d</w:t>
            </w:r>
          </w:p>
        </w:tc>
        <w:tc>
          <w:tcPr>
            <w:tcW w:w="1281" w:type="pct"/>
            <w:tcBorders>
              <w:top w:val="single" w:color="auto" w:sz="4" w:space="0"/>
              <w:left w:val="single" w:color="auto" w:sz="4" w:space="0"/>
              <w:bottom w:val="single" w:color="auto" w:sz="4" w:space="0"/>
              <w:right w:val="single" w:color="auto" w:sz="4" w:space="0"/>
            </w:tcBorders>
            <w:vAlign w:val="center"/>
          </w:tcPr>
          <w:p>
            <w:pPr>
              <w:pStyle w:val="121"/>
              <w:adjustRightInd w:val="0"/>
              <w:snapToGrid w:val="0"/>
              <w:rPr>
                <w:rFonts w:ascii="Times New Roman" w:hAnsi="Times New Roman" w:eastAsiaTheme="minorEastAsia"/>
                <w:szCs w:val="21"/>
              </w:rPr>
            </w:pPr>
            <w:r>
              <w:rPr>
                <w:rFonts w:ascii="Times New Roman" w:hAnsi="Times New Roman" w:eastAsiaTheme="minorEastAsia"/>
                <w:szCs w:val="21"/>
              </w:rPr>
              <w:t>定点收集，由当地环卫部门集中处置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413"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噪声</w:t>
            </w:r>
          </w:p>
        </w:tc>
        <w:tc>
          <w:tcPr>
            <w:tcW w:w="3247" w:type="pct"/>
            <w:gridSpan w:val="3"/>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主要来自施工机械噪声、运输车辆噪声和施工作业噪声，80～95dB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营运期</w:t>
            </w:r>
          </w:p>
        </w:tc>
        <w:tc>
          <w:tcPr>
            <w:tcW w:w="342"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废气</w:t>
            </w:r>
          </w:p>
        </w:tc>
        <w:tc>
          <w:tcPr>
            <w:tcW w:w="10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原料筒仓</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呼吸粉尘</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94.5</w:t>
            </w:r>
            <w:r>
              <w:rPr>
                <w:rFonts w:ascii="Times New Roman" w:hAnsi="Times New Roman" w:cs="Times New Roman"/>
                <w:kern w:val="2"/>
                <w:sz w:val="21"/>
                <w:szCs w:val="21"/>
              </w:rPr>
              <w:t>kg/h，</w:t>
            </w:r>
            <w:r>
              <w:rPr>
                <w:rFonts w:hint="eastAsia" w:ascii="Times New Roman" w:hAnsi="Times New Roman" w:cs="Times New Roman"/>
                <w:kern w:val="2"/>
                <w:sz w:val="21"/>
                <w:szCs w:val="21"/>
                <w:lang w:val="en-US" w:eastAsia="zh-CN"/>
              </w:rPr>
              <w:t>189</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45</w:t>
            </w:r>
            <w:r>
              <w:rPr>
                <w:rFonts w:ascii="Times New Roman" w:hAnsi="Times New Roman" w:cs="Times New Roman"/>
                <w:kern w:val="2"/>
                <w:sz w:val="21"/>
                <w:szCs w:val="21"/>
              </w:rPr>
              <w:t>mg/m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w:t>
            </w:r>
            <w:r>
              <w:rPr>
                <w:rFonts w:hint="eastAsia" w:ascii="Times New Roman" w:hAnsi="Times New Roman" w:cs="Times New Roman"/>
                <w:kern w:val="2"/>
                <w:sz w:val="21"/>
                <w:szCs w:val="21"/>
                <w:lang w:val="en-US" w:eastAsia="zh-CN"/>
              </w:rPr>
              <w:t>0.189</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搅拌楼</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搅拌粉尘</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20.25</w:t>
            </w:r>
            <w:r>
              <w:rPr>
                <w:rFonts w:ascii="Times New Roman" w:hAnsi="Times New Roman" w:cs="Times New Roman"/>
                <w:kern w:val="2"/>
                <w:sz w:val="21"/>
                <w:szCs w:val="21"/>
              </w:rPr>
              <w:t>kg/h，</w:t>
            </w:r>
            <w:r>
              <w:rPr>
                <w:rFonts w:hint="eastAsia" w:ascii="Times New Roman" w:hAnsi="Times New Roman" w:cs="Times New Roman"/>
                <w:kern w:val="2"/>
                <w:sz w:val="21"/>
                <w:szCs w:val="21"/>
                <w:lang w:val="en-US" w:eastAsia="zh-CN"/>
              </w:rPr>
              <w:t>40.5</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1</w:t>
            </w:r>
            <w:r>
              <w:rPr>
                <w:rFonts w:ascii="Times New Roman" w:hAnsi="Times New Roman" w:cs="Times New Roman"/>
                <w:kern w:val="2"/>
                <w:sz w:val="21"/>
                <w:szCs w:val="21"/>
              </w:rPr>
              <w:t>mg/m</w:t>
            </w:r>
            <w:r>
              <w:rPr>
                <w:rFonts w:ascii="Times New Roman" w:hAnsi="Times New Roman" w:cs="Times New Roman"/>
                <w:kern w:val="2"/>
                <w:sz w:val="21"/>
                <w:szCs w:val="21"/>
                <w:vertAlign w:val="superscript"/>
              </w:rPr>
              <w:t>3</w:t>
            </w:r>
            <w:r>
              <w:rPr>
                <w:rFonts w:ascii="Times New Roman" w:hAnsi="Times New Roman" w:cs="Times New Roman"/>
                <w:kern w:val="2"/>
                <w:sz w:val="21"/>
                <w:szCs w:val="21"/>
              </w:rPr>
              <w:t>， 0.0</w:t>
            </w:r>
            <w:r>
              <w:rPr>
                <w:rFonts w:hint="eastAsia" w:ascii="Times New Roman" w:hAnsi="Times New Roman" w:cs="Times New Roman"/>
                <w:kern w:val="2"/>
                <w:sz w:val="21"/>
                <w:szCs w:val="21"/>
                <w:lang w:val="en-US" w:eastAsia="zh-CN"/>
              </w:rPr>
              <w:t>4</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原料堆场</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卸料粉尘</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hint="eastAsia" w:cs="Times New Roman"/>
                <w:sz w:val="21"/>
                <w:lang w:val="en-US" w:eastAsia="zh-CN"/>
              </w:rPr>
              <w:t>0.6</w:t>
            </w:r>
            <w:r>
              <w:rPr>
                <w:rFonts w:cs="Times New Roman"/>
                <w:sz w:val="21"/>
              </w:rPr>
              <w:t>kg/h，</w:t>
            </w:r>
            <w:r>
              <w:rPr>
                <w:rFonts w:hint="eastAsia" w:cs="Times New Roman"/>
                <w:sz w:val="21"/>
                <w:lang w:val="en-US" w:eastAsia="zh-CN"/>
              </w:rPr>
              <w:t>1.2</w:t>
            </w:r>
            <w:r>
              <w:rPr>
                <w:rFonts w:cs="Times New Roman"/>
                <w:sz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hint="eastAsia" w:cs="Times New Roman"/>
                <w:sz w:val="21"/>
                <w:lang w:val="en-US" w:eastAsia="zh-CN"/>
              </w:rPr>
              <w:t>0.09</w:t>
            </w:r>
            <w:r>
              <w:rPr>
                <w:rFonts w:cs="Times New Roman"/>
                <w:sz w:val="21"/>
              </w:rPr>
              <w:t xml:space="preserve">kg/h， </w:t>
            </w:r>
            <w:r>
              <w:rPr>
                <w:rFonts w:hint="eastAsia" w:cs="Times New Roman"/>
                <w:sz w:val="21"/>
                <w:lang w:val="en-US" w:eastAsia="zh-CN"/>
              </w:rPr>
              <w:t>0.18</w:t>
            </w:r>
            <w:r>
              <w:rPr>
                <w:rFonts w:cs="Times New Roman"/>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sz w:val="21"/>
              </w:rPr>
            </w:pPr>
          </w:p>
        </w:tc>
        <w:tc>
          <w:tcPr>
            <w:tcW w:w="8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堆场扬尘</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0.03kg/h， 0.07t/a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0.0075kg/h， 0.017t/a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食堂油烟</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油烟</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0.</w:t>
            </w:r>
            <w:r>
              <w:rPr>
                <w:rFonts w:hint="eastAsia" w:cs="Times New Roman"/>
                <w:sz w:val="21"/>
              </w:rPr>
              <w:t>021</w:t>
            </w:r>
            <w:r>
              <w:rPr>
                <w:rFonts w:cs="Times New Roman"/>
                <w:sz w:val="21"/>
              </w:rPr>
              <w:t>kg/h， 0.00</w:t>
            </w:r>
            <w:r>
              <w:rPr>
                <w:rFonts w:hint="eastAsia" w:cs="Times New Roman"/>
                <w:sz w:val="21"/>
              </w:rPr>
              <w:t>69</w:t>
            </w:r>
            <w:r>
              <w:rPr>
                <w:rFonts w:cs="Times New Roman"/>
                <w:sz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hint="eastAsia" w:cs="Times New Roman"/>
                <w:sz w:val="21"/>
              </w:rPr>
              <w:t>3</w:t>
            </w:r>
            <w:r>
              <w:rPr>
                <w:rFonts w:cs="Times New Roman"/>
                <w:sz w:val="21"/>
              </w:rPr>
              <w:t>mg/m</w:t>
            </w:r>
            <w:r>
              <w:rPr>
                <w:rFonts w:cs="Times New Roman"/>
                <w:sz w:val="21"/>
                <w:vertAlign w:val="superscript"/>
              </w:rPr>
              <w:t>3</w:t>
            </w:r>
            <w:r>
              <w:rPr>
                <w:rFonts w:cs="Times New Roman"/>
                <w:sz w:val="21"/>
              </w:rPr>
              <w:t>，0.0</w:t>
            </w:r>
            <w:r>
              <w:rPr>
                <w:rFonts w:hint="eastAsia" w:cs="Times New Roman"/>
                <w:sz w:val="21"/>
              </w:rPr>
              <w:t>12</w:t>
            </w:r>
            <w:r>
              <w:rPr>
                <w:rFonts w:cs="Times New Roman"/>
                <w:sz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运输扬尘</w:t>
            </w:r>
          </w:p>
        </w:tc>
        <w:tc>
          <w:tcPr>
            <w:tcW w:w="88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扬尘</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少量</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汽车尾气</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THC、CO、NO</w:t>
            </w:r>
            <w:r>
              <w:rPr>
                <w:rFonts w:ascii="Times New Roman" w:hAnsi="Times New Roman" w:cs="Times New Roman"/>
                <w:kern w:val="2"/>
                <w:sz w:val="21"/>
                <w:szCs w:val="21"/>
                <w:vertAlign w:val="subscript"/>
              </w:rPr>
              <w:t>X</w:t>
            </w:r>
            <w:r>
              <w:rPr>
                <w:rFonts w:ascii="Times New Roman" w:hAnsi="Times New Roman" w:cs="Times New Roman"/>
                <w:kern w:val="2"/>
                <w:sz w:val="21"/>
                <w:szCs w:val="21"/>
              </w:rPr>
              <w:t>等</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少量</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备用发电机燃油废气</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SO</w:t>
            </w:r>
            <w:r>
              <w:rPr>
                <w:rFonts w:ascii="Times New Roman" w:hAnsi="Times New Roman" w:cs="Times New Roman"/>
                <w:color w:val="000000" w:themeColor="text1"/>
                <w:kern w:val="2"/>
                <w:sz w:val="21"/>
                <w:szCs w:val="21"/>
                <w:vertAlign w:val="subscript"/>
              </w:rPr>
              <w:t>2</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289.56kg/a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289.56kg/a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NO</w:t>
            </w:r>
            <w:r>
              <w:rPr>
                <w:rFonts w:ascii="Times New Roman" w:hAnsi="Times New Roman" w:cs="Times New Roman"/>
                <w:color w:val="000000" w:themeColor="text1"/>
                <w:kern w:val="2"/>
                <w:sz w:val="21"/>
                <w:szCs w:val="21"/>
                <w:vertAlign w:val="subscript"/>
              </w:rPr>
              <w:t>X</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186.28kg/a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186.28kg/a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CO</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109.62kg/a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109.62kg/a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烟尘</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51.32kg/a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51.32kg/a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停车场汽车尾气</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NOx</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0.00</w:t>
            </w:r>
            <w:r>
              <w:rPr>
                <w:rFonts w:hint="eastAsia" w:cs="Times New Roman"/>
                <w:color w:val="000000" w:themeColor="text1"/>
                <w:sz w:val="21"/>
              </w:rPr>
              <w:t>7</w:t>
            </w:r>
            <w:r>
              <w:rPr>
                <w:rFonts w:cs="Times New Roman"/>
                <w:color w:val="000000" w:themeColor="text1"/>
                <w:sz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0.00</w:t>
            </w:r>
            <w:r>
              <w:rPr>
                <w:rFonts w:hint="eastAsia" w:cs="Times New Roman"/>
                <w:color w:val="000000" w:themeColor="text1"/>
                <w:sz w:val="21"/>
              </w:rPr>
              <w:t>7</w:t>
            </w:r>
            <w:r>
              <w:rPr>
                <w:rFonts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CO</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0.1</w:t>
            </w:r>
            <w:r>
              <w:rPr>
                <w:rFonts w:hint="eastAsia" w:cs="Times New Roman"/>
                <w:color w:val="000000" w:themeColor="text1"/>
                <w:sz w:val="21"/>
              </w:rPr>
              <w:t>6</w:t>
            </w:r>
            <w:r>
              <w:rPr>
                <w:rFonts w:cs="Times New Roman"/>
                <w:color w:val="000000" w:themeColor="text1"/>
                <w:sz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0.1</w:t>
            </w:r>
            <w:r>
              <w:rPr>
                <w:rFonts w:hint="eastAsia" w:cs="Times New Roman"/>
                <w:color w:val="000000" w:themeColor="text1"/>
                <w:sz w:val="21"/>
              </w:rPr>
              <w:t>6</w:t>
            </w:r>
            <w:r>
              <w:rPr>
                <w:rFonts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THC</w:t>
            </w:r>
          </w:p>
        </w:tc>
        <w:tc>
          <w:tcPr>
            <w:tcW w:w="108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0.00</w:t>
            </w:r>
            <w:r>
              <w:rPr>
                <w:rFonts w:hint="eastAsia" w:cs="Times New Roman"/>
                <w:color w:val="000000" w:themeColor="text1"/>
                <w:sz w:val="21"/>
              </w:rPr>
              <w:t>9</w:t>
            </w:r>
            <w:r>
              <w:rPr>
                <w:rFonts w:cs="Times New Roman"/>
                <w:color w:val="000000" w:themeColor="text1"/>
                <w:sz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themeColor="text1"/>
                <w:sz w:val="21"/>
              </w:rPr>
            </w:pPr>
            <w:r>
              <w:rPr>
                <w:rFonts w:cs="Times New Roman"/>
                <w:color w:val="000000" w:themeColor="text1"/>
                <w:sz w:val="21"/>
              </w:rPr>
              <w:t>0.00</w:t>
            </w:r>
            <w:r>
              <w:rPr>
                <w:rFonts w:hint="eastAsia" w:cs="Times New Roman"/>
                <w:color w:val="000000" w:themeColor="text1"/>
                <w:sz w:val="21"/>
              </w:rPr>
              <w:t>9</w:t>
            </w:r>
            <w:r>
              <w:rPr>
                <w:rFonts w:cs="Times New Roman"/>
                <w:color w:val="000000" w:themeColor="text1"/>
                <w:sz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废水</w:t>
            </w:r>
          </w:p>
        </w:tc>
        <w:tc>
          <w:tcPr>
            <w:tcW w:w="107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生产废水（</w:t>
            </w:r>
            <w:r>
              <w:rPr>
                <w:rFonts w:hint="eastAsia" w:ascii="Times New Roman" w:hAnsi="Times New Roman" w:cs="Times New Roman"/>
                <w:kern w:val="2"/>
                <w:sz w:val="21"/>
                <w:szCs w:val="21"/>
              </w:rPr>
              <w:t>38016</w:t>
            </w:r>
            <w:r>
              <w:rPr>
                <w:rFonts w:ascii="Times New Roman" w:hAnsi="Times New Roman" w:cs="Times New Roman"/>
                <w:kern w:val="2"/>
                <w:sz w:val="21"/>
                <w:szCs w:val="21"/>
              </w:rPr>
              <w:t>t/a）</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SS</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3500mg/L</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生活废水（</w:t>
            </w:r>
            <w:r>
              <w:rPr>
                <w:rFonts w:hint="eastAsia" w:ascii="Times New Roman" w:hAnsi="Times New Roman" w:cs="Times New Roman"/>
                <w:kern w:val="2"/>
                <w:sz w:val="21"/>
                <w:szCs w:val="21"/>
              </w:rPr>
              <w:t>1071.84</w:t>
            </w:r>
            <w:r>
              <w:rPr>
                <w:rFonts w:ascii="Times New Roman" w:hAnsi="Times New Roman" w:cs="Times New Roman"/>
                <w:kern w:val="2"/>
                <w:sz w:val="21"/>
                <w:szCs w:val="21"/>
              </w:rPr>
              <w:t>t/a）</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COD</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350mg/L、0.3</w:t>
            </w:r>
            <w:r>
              <w:rPr>
                <w:rFonts w:hint="eastAsia" w:ascii="Times New Roman" w:hAnsi="Times New Roman" w:cs="Times New Roman"/>
                <w:kern w:val="2"/>
                <w:sz w:val="21"/>
                <w:szCs w:val="21"/>
              </w:rPr>
              <w:t>8</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300</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0.32</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BOD</w:t>
            </w:r>
            <w:r>
              <w:rPr>
                <w:rFonts w:ascii="Times New Roman" w:hAnsi="Times New Roman" w:cs="Times New Roman"/>
                <w:kern w:val="2"/>
                <w:sz w:val="21"/>
                <w:szCs w:val="21"/>
                <w:vertAlign w:val="subscript"/>
              </w:rPr>
              <w:t>5</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200mg/L、0.2</w:t>
            </w:r>
            <w:r>
              <w:rPr>
                <w:rFonts w:hint="eastAsia" w:ascii="Times New Roman" w:hAnsi="Times New Roman" w:cs="Times New Roman"/>
                <w:kern w:val="2"/>
                <w:sz w:val="21"/>
                <w:szCs w:val="21"/>
              </w:rPr>
              <w:t>1</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150</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0.16</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SS</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300mg/L、0.3</w:t>
            </w:r>
            <w:r>
              <w:rPr>
                <w:rFonts w:hint="eastAsia" w:ascii="Times New Roman" w:hAnsi="Times New Roman" w:cs="Times New Roman"/>
                <w:kern w:val="2"/>
                <w:sz w:val="21"/>
                <w:szCs w:val="21"/>
              </w:rPr>
              <w:t>2</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150</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0.16</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NH</w:t>
            </w:r>
            <w:r>
              <w:rPr>
                <w:rFonts w:ascii="Times New Roman" w:hAnsi="Times New Roman" w:cs="Times New Roman"/>
                <w:kern w:val="2"/>
                <w:sz w:val="21"/>
                <w:szCs w:val="21"/>
                <w:vertAlign w:val="subscript"/>
              </w:rPr>
              <w:t>3</w:t>
            </w:r>
            <w:r>
              <w:rPr>
                <w:rFonts w:ascii="Times New Roman" w:hAnsi="Times New Roman" w:cs="Times New Roman"/>
                <w:kern w:val="2"/>
                <w:sz w:val="21"/>
                <w:szCs w:val="21"/>
              </w:rPr>
              <w:t>-N</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35mg/L、0.0</w:t>
            </w:r>
            <w:r>
              <w:rPr>
                <w:rFonts w:hint="eastAsia" w:ascii="Times New Roman" w:hAnsi="Times New Roman" w:cs="Times New Roman"/>
                <w:kern w:val="2"/>
                <w:sz w:val="21"/>
                <w:szCs w:val="21"/>
              </w:rPr>
              <w:t>37</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30</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0.03</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动植物油</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60mg/L、0.06t/a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lang w:val="en-US" w:eastAsia="zh-CN"/>
              </w:rPr>
              <w:t>18</w:t>
            </w:r>
            <w:r>
              <w:rPr>
                <w:rFonts w:ascii="Times New Roman" w:hAnsi="Times New Roman" w:cs="Times New Roman"/>
                <w:kern w:val="2"/>
                <w:sz w:val="21"/>
                <w:szCs w:val="21"/>
              </w:rPr>
              <w:t>mg/L、</w:t>
            </w:r>
            <w:r>
              <w:rPr>
                <w:rFonts w:hint="eastAsia" w:ascii="Times New Roman" w:hAnsi="Times New Roman" w:cs="Times New Roman"/>
                <w:kern w:val="2"/>
                <w:sz w:val="21"/>
                <w:szCs w:val="21"/>
                <w:lang w:val="en-US" w:eastAsia="zh-CN"/>
              </w:rPr>
              <w:t>0.02</w:t>
            </w:r>
            <w:r>
              <w:rPr>
                <w:rFonts w:ascii="Times New Roman" w:hAnsi="Times New Roman" w:cs="Times New Roman"/>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固废</w:t>
            </w:r>
          </w:p>
        </w:tc>
        <w:tc>
          <w:tcPr>
            <w:tcW w:w="1070" w:type="pct"/>
            <w:vMerge w:val="restar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一般固废</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除尘设备收集的粉尘</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310.3t/a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砂石分离机分离后的砂石</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rPr>
              <w:t>900</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沉淀池沉淀泥砂</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hint="eastAsia" w:ascii="Times New Roman" w:hAnsi="Times New Roman" w:cs="Times New Roman"/>
                <w:kern w:val="2"/>
                <w:sz w:val="21"/>
                <w:szCs w:val="21"/>
                <w:u w:color="246BFF"/>
              </w:rPr>
              <w:t>2.27</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实验废料</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hint="eastAsia" w:ascii="Times New Roman" w:hAnsi="Times New Roman" w:cs="Times New Roman"/>
                <w:kern w:val="2"/>
                <w:sz w:val="21"/>
                <w:szCs w:val="21"/>
                <w:lang w:val="en-US" w:eastAsia="zh-CN"/>
              </w:rPr>
            </w:pPr>
            <w:r>
              <w:rPr>
                <w:rFonts w:hint="eastAsia" w:ascii="Times New Roman" w:hAnsi="Times New Roman" w:cs="Times New Roman"/>
                <w:kern w:val="2"/>
                <w:sz w:val="21"/>
                <w:szCs w:val="21"/>
                <w:lang w:val="en-US" w:eastAsia="zh-CN"/>
              </w:rPr>
              <w:t>500</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含油抹布及手套</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u w:color="246BFF"/>
              </w:rPr>
              <w:t>0.2t/a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hint="eastAsia" w:ascii="Times New Roman" w:hAnsi="Times New Roman" w:cs="Times New Roman" w:eastAsiaTheme="minorEastAsia"/>
                <w:kern w:val="2"/>
                <w:sz w:val="21"/>
                <w:szCs w:val="21"/>
                <w:lang w:val="en-US" w:eastAsia="zh-CN"/>
              </w:rPr>
            </w:pPr>
            <w:r>
              <w:rPr>
                <w:rFonts w:hint="eastAsia" w:ascii="Times New Roman" w:hAnsi="Times New Roman" w:cs="Times New Roman"/>
                <w:kern w:val="2"/>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6" w:hRule="atLeast"/>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危险固废</w:t>
            </w:r>
          </w:p>
        </w:tc>
        <w:tc>
          <w:tcPr>
            <w:tcW w:w="880" w:type="pct"/>
            <w:tcBorders>
              <w:top w:val="single" w:color="auto" w:sz="4" w:space="0"/>
              <w:left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废润滑油、机油</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u w:color="246BFF"/>
              </w:rPr>
            </w:pPr>
            <w:r>
              <w:rPr>
                <w:rFonts w:ascii="Times New Roman" w:hAnsi="Times New Roman" w:cs="Times New Roman"/>
                <w:kern w:val="2"/>
                <w:sz w:val="21"/>
                <w:szCs w:val="21"/>
                <w:u w:color="246BFF"/>
              </w:rPr>
              <w:t>0.001t/a</w:t>
            </w:r>
          </w:p>
        </w:tc>
        <w:tc>
          <w:tcPr>
            <w:tcW w:w="12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设置危废储存间，交由资质公司处理</w:t>
            </w:r>
          </w:p>
          <w:p>
            <w:pPr>
              <w:pStyle w:val="82"/>
              <w:snapToGrid w:val="0"/>
              <w:jc w:val="center"/>
              <w:rPr>
                <w:rFonts w:ascii="Times New Roman" w:hAns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107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生活垃圾</w:t>
            </w:r>
          </w:p>
        </w:tc>
        <w:tc>
          <w:tcPr>
            <w:tcW w:w="880"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生活垃圾</w:t>
            </w:r>
          </w:p>
        </w:tc>
        <w:tc>
          <w:tcPr>
            <w:tcW w:w="1085"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u w:color="246BFF"/>
              </w:rPr>
              <w:t>4.</w:t>
            </w:r>
            <w:r>
              <w:rPr>
                <w:rFonts w:hint="eastAsia" w:ascii="Times New Roman" w:hAnsi="Times New Roman" w:cs="Times New Roman"/>
                <w:kern w:val="2"/>
                <w:sz w:val="21"/>
                <w:szCs w:val="21"/>
                <w:u w:color="246BFF"/>
              </w:rPr>
              <w:t>62</w:t>
            </w:r>
            <w:r>
              <w:rPr>
                <w:rFonts w:ascii="Times New Roman" w:hAnsi="Times New Roman" w:cs="Times New Roman"/>
                <w:kern w:val="2"/>
                <w:sz w:val="21"/>
                <w:szCs w:val="21"/>
              </w:rPr>
              <w:t>t/a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8"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cs="Times New Roman"/>
                <w:color w:val="000000"/>
                <w:kern w:val="0"/>
                <w:sz w:val="21"/>
              </w:rPr>
            </w:pPr>
          </w:p>
        </w:tc>
        <w:tc>
          <w:tcPr>
            <w:tcW w:w="342"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噪声</w:t>
            </w:r>
          </w:p>
        </w:tc>
        <w:tc>
          <w:tcPr>
            <w:tcW w:w="3036" w:type="pct"/>
            <w:gridSpan w:val="3"/>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机械设备运行噪声及进出厂车辆噪声，声压级70~90dB（A）</w:t>
            </w:r>
          </w:p>
        </w:tc>
        <w:tc>
          <w:tcPr>
            <w:tcW w:w="1281" w:type="pct"/>
            <w:tcBorders>
              <w:top w:val="single" w:color="auto" w:sz="4" w:space="0"/>
              <w:left w:val="single" w:color="auto" w:sz="4" w:space="0"/>
              <w:bottom w:val="single" w:color="auto" w:sz="4" w:space="0"/>
              <w:right w:val="single" w:color="auto" w:sz="4" w:space="0"/>
            </w:tcBorders>
            <w:vAlign w:val="center"/>
          </w:tcPr>
          <w:p>
            <w:pPr>
              <w:pStyle w:val="82"/>
              <w:snapToGrid w:val="0"/>
              <w:jc w:val="center"/>
              <w:rPr>
                <w:rFonts w:ascii="Times New Roman" w:hAnsi="Times New Roman" w:cs="Times New Roman"/>
                <w:kern w:val="2"/>
                <w:sz w:val="21"/>
                <w:szCs w:val="21"/>
              </w:rPr>
            </w:pPr>
            <w:r>
              <w:rPr>
                <w:rFonts w:ascii="Times New Roman" w:hAnsi="Times New Roman" w:cs="Times New Roman"/>
                <w:kern w:val="2"/>
                <w:sz w:val="21"/>
                <w:szCs w:val="21"/>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pStyle w:val="82"/>
              <w:snapToGrid w:val="0"/>
              <w:rPr>
                <w:rFonts w:ascii="Times New Roman" w:hAnsi="Times New Roman" w:cs="Times New Roman"/>
                <w:b/>
                <w:bCs/>
                <w:kern w:val="2"/>
                <w:sz w:val="21"/>
                <w:szCs w:val="21"/>
              </w:rPr>
            </w:pPr>
            <w:r>
              <w:rPr>
                <w:rFonts w:ascii="Times New Roman" w:hAnsi="Times New Roman" w:cs="Times New Roman"/>
                <w:b/>
                <w:bCs/>
                <w:kern w:val="2"/>
                <w:sz w:val="21"/>
                <w:szCs w:val="21"/>
              </w:rPr>
              <w:t>主要生态影响：</w:t>
            </w:r>
          </w:p>
          <w:p>
            <w:pPr>
              <w:pStyle w:val="113"/>
              <w:spacing w:before="0" w:line="240" w:lineRule="auto"/>
              <w:ind w:firstLine="420"/>
              <w:rPr>
                <w:rFonts w:ascii="Times New Roman" w:hAnsi="Times New Roman" w:cs="Times New Roman"/>
                <w:sz w:val="21"/>
                <w:szCs w:val="21"/>
              </w:rPr>
            </w:pPr>
            <w:r>
              <w:rPr>
                <w:rFonts w:ascii="Times New Roman" w:hAnsi="Times New Roman" w:cs="Times New Roman"/>
                <w:sz w:val="21"/>
                <w:szCs w:val="21"/>
              </w:rPr>
              <w:t>本项目为新建项目，用地性质为工业用地。建设之前，植被分布较少，对生态环境的影响主要为施工期对地表环境的影响。施工期地表裸露，在风力、水力作用下，易产生扬尘和引起水土流失。随着施工期的结束，项目区域内地表将硬化处理或种植植被，对生态环境影响较小。</w:t>
            </w:r>
          </w:p>
          <w:p>
            <w:pPr>
              <w:pStyle w:val="113"/>
              <w:spacing w:before="0" w:line="240" w:lineRule="auto"/>
              <w:ind w:firstLine="420"/>
              <w:rPr>
                <w:rFonts w:ascii="Times New Roman" w:hAnsi="Times New Roman" w:cs="Times New Roman"/>
                <w:sz w:val="21"/>
                <w:szCs w:val="21"/>
              </w:rPr>
            </w:pPr>
            <w:r>
              <w:rPr>
                <w:rFonts w:ascii="Times New Roman" w:hAnsi="Times New Roman" w:cs="Times New Roman"/>
                <w:sz w:val="21"/>
                <w:szCs w:val="21"/>
              </w:rPr>
              <w:t>项目建成后做好绿化工作，以净化空气，减少噪声外传，美化环境。对绿化带的布局，建设工程应充分利用以生产线为中心，直至厂区围墙各方向种植绿化树种。绿化树种选择原则为：①以本地树种、草皮、蔷薇科植物为主；②抗尘、滞尘能力强，隔噪效果好的树种；③速生树与慢长树种结合，慢长树种宜整株带土球种植；④种植高大的树种，落叶与常绿结合，以常绿为主。</w:t>
            </w:r>
          </w:p>
          <w:p>
            <w:pPr>
              <w:pStyle w:val="113"/>
              <w:spacing w:before="0" w:line="240" w:lineRule="auto"/>
              <w:ind w:firstLine="420"/>
              <w:rPr>
                <w:rFonts w:ascii="Times New Roman" w:hAnsi="Times New Roman" w:cs="Times New Roman"/>
                <w:kern w:val="2"/>
                <w:sz w:val="21"/>
                <w:szCs w:val="21"/>
              </w:rPr>
            </w:pPr>
            <w:r>
              <w:rPr>
                <w:rFonts w:ascii="Times New Roman" w:hAnsi="Times New Roman" w:cs="Times New Roman"/>
                <w:sz w:val="21"/>
                <w:szCs w:val="21"/>
              </w:rPr>
              <w:t>建设单位做好上述措施后，本项目对周围的生态环境影响很小。</w:t>
            </w:r>
          </w:p>
        </w:tc>
      </w:tr>
    </w:tbl>
    <w:p>
      <w:pPr>
        <w:pStyle w:val="4"/>
        <w:numPr>
          <w:ilvl w:val="0"/>
          <w:numId w:val="0"/>
        </w:numPr>
        <w:rPr>
          <w:rFonts w:cs="Times New Roman" w:eastAsiaTheme="minorEastAsia"/>
          <w:color w:val="000000" w:themeColor="text1"/>
        </w:rPr>
      </w:pPr>
    </w:p>
    <w:p>
      <w:pPr>
        <w:rPr>
          <w:rFonts w:cs="Times New Roman"/>
        </w:rPr>
      </w:pPr>
    </w:p>
    <w:p>
      <w:pPr>
        <w:rPr>
          <w:rFonts w:cs="Times New Roman"/>
          <w:color w:val="000000" w:themeColor="text1"/>
        </w:rPr>
      </w:pPr>
      <w:r>
        <w:rPr>
          <w:rFonts w:cs="Times New Roman"/>
          <w:color w:val="000000" w:themeColor="text1"/>
        </w:rPr>
        <w:br w:type="page"/>
      </w:r>
    </w:p>
    <w:p>
      <w:pPr>
        <w:pStyle w:val="4"/>
        <w:rPr>
          <w:rFonts w:cs="Times New Roman" w:eastAsiaTheme="minorEastAsia"/>
        </w:rPr>
      </w:pPr>
      <w:bookmarkStart w:id="19" w:name="_Toc10682"/>
      <w:r>
        <w:rPr>
          <w:rFonts w:cs="Times New Roman" w:eastAsiaTheme="minorEastAsia"/>
        </w:rPr>
        <w:t>环境影响分析</w:t>
      </w:r>
      <w:bookmarkEnd w:id="19"/>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5" w:hRule="atLeast"/>
        </w:trPr>
        <w:tc>
          <w:tcPr>
            <w:tcW w:w="5000" w:type="pct"/>
          </w:tcPr>
          <w:p>
            <w:pPr>
              <w:pStyle w:val="6"/>
              <w:rPr>
                <w:rFonts w:cs="Times New Roman"/>
              </w:rPr>
            </w:pPr>
            <w:r>
              <w:rPr>
                <w:rFonts w:cs="Times New Roman"/>
              </w:rPr>
              <w:t>施工期环境影响分析</w:t>
            </w:r>
          </w:p>
          <w:p>
            <w:pPr>
              <w:autoSpaceDE w:val="0"/>
              <w:autoSpaceDN w:val="0"/>
              <w:adjustRightInd w:val="0"/>
              <w:spacing w:line="360" w:lineRule="auto"/>
              <w:ind w:firstLine="480" w:firstLineChars="200"/>
              <w:rPr>
                <w:rFonts w:cs="Times New Roman"/>
              </w:rPr>
            </w:pPr>
            <w:r>
              <w:rPr>
                <w:rFonts w:cs="Times New Roman"/>
              </w:rPr>
              <w:t>本项目施工期的环境影响主要是在施工建设时产生的施工噪声、施工扬尘、固体废弃物等对环境的影响。施工期的环境影响一般会随着施工期的结束而消失，施工单位应积极采取环境保护措施，使施工期对环境的影响降低到最低限度。</w:t>
            </w:r>
          </w:p>
          <w:p>
            <w:pPr>
              <w:pStyle w:val="7"/>
              <w:rPr>
                <w:rFonts w:cs="Times New Roman" w:eastAsiaTheme="minorEastAsia"/>
                <w:b w:val="0"/>
                <w:szCs w:val="21"/>
              </w:rPr>
            </w:pPr>
            <w:r>
              <w:rPr>
                <w:rFonts w:cs="Times New Roman" w:eastAsiaTheme="minorEastAsia"/>
                <w:b w:val="0"/>
                <w:szCs w:val="21"/>
              </w:rPr>
              <w:t>施工期废水环境影响分析</w:t>
            </w:r>
          </w:p>
          <w:p>
            <w:pPr>
              <w:autoSpaceDE w:val="0"/>
              <w:autoSpaceDN w:val="0"/>
              <w:adjustRightInd w:val="0"/>
              <w:spacing w:line="360" w:lineRule="auto"/>
              <w:ind w:firstLine="480" w:firstLineChars="200"/>
              <w:rPr>
                <w:rFonts w:cs="Times New Roman"/>
              </w:rPr>
            </w:pPr>
            <w:r>
              <w:rPr>
                <w:rFonts w:cs="Times New Roman"/>
              </w:rPr>
              <w:t>施工期产生的废水主要来源于施工废水及施工人员生活污水。施工废水经沉淀池处理后回用做地面养护用水；项目施工人员的生活污水约（5m</w:t>
            </w:r>
            <w:r>
              <w:rPr>
                <w:rFonts w:cs="Times New Roman"/>
                <w:vertAlign w:val="superscript"/>
              </w:rPr>
              <w:t>3</w:t>
            </w:r>
            <w:r>
              <w:rPr>
                <w:rFonts w:cs="Times New Roman"/>
              </w:rPr>
              <w:t>/d），经化粪池处理后经隔油池及化粪池处理后进入湖南城陵矶临港产业新区污水处理厂处理。</w:t>
            </w:r>
          </w:p>
          <w:p>
            <w:pPr>
              <w:pStyle w:val="7"/>
              <w:rPr>
                <w:rFonts w:cs="Times New Roman" w:eastAsiaTheme="minorEastAsia"/>
                <w:b w:val="0"/>
                <w:szCs w:val="21"/>
              </w:rPr>
            </w:pPr>
            <w:r>
              <w:rPr>
                <w:rFonts w:cs="Times New Roman" w:eastAsiaTheme="minorEastAsia"/>
                <w:b w:val="0"/>
                <w:szCs w:val="21"/>
              </w:rPr>
              <w:t>施工期大气环境影响分析</w:t>
            </w:r>
          </w:p>
          <w:p>
            <w:pPr>
              <w:autoSpaceDE w:val="0"/>
              <w:autoSpaceDN w:val="0"/>
              <w:adjustRightInd w:val="0"/>
              <w:spacing w:line="360" w:lineRule="auto"/>
              <w:ind w:firstLine="480" w:firstLineChars="200"/>
              <w:rPr>
                <w:rFonts w:cs="Times New Roman"/>
              </w:rPr>
            </w:pPr>
            <w:r>
              <w:rPr>
                <w:rFonts w:cs="Times New Roman"/>
              </w:rPr>
              <w:t>项目施工期产生的废气主要为施工扬尘，运输车辆和施工机械运行过程中排放的尾气。</w:t>
            </w:r>
          </w:p>
          <w:p>
            <w:pPr>
              <w:autoSpaceDE w:val="0"/>
              <w:autoSpaceDN w:val="0"/>
              <w:adjustRightInd w:val="0"/>
              <w:spacing w:line="360" w:lineRule="auto"/>
              <w:ind w:firstLine="480" w:firstLineChars="20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rPr>
              <w:t>施工扬尘</w:t>
            </w:r>
          </w:p>
          <w:p>
            <w:pPr>
              <w:autoSpaceDE w:val="0"/>
              <w:autoSpaceDN w:val="0"/>
              <w:adjustRightInd w:val="0"/>
              <w:spacing w:line="360" w:lineRule="auto"/>
              <w:ind w:firstLine="480" w:firstLineChars="200"/>
              <w:rPr>
                <w:rFonts w:cs="Times New Roman"/>
                <w:szCs w:val="32"/>
              </w:rPr>
            </w:pPr>
            <w:r>
              <w:rPr>
                <w:rFonts w:cs="Times New Roman"/>
                <w:szCs w:val="32"/>
              </w:rPr>
              <w:t>施工扬尘主要来自以下几个方面：清理场地阶段；土方的挖掘扬尘和现场堆放扬尘；建筑材料的现场搬运及堆放粉尘；施工垃圾的清运及堆放扬尘；人来车往所造成的现场道路扬尘；弃土场卸土扬尘。</w:t>
            </w:r>
          </w:p>
          <w:p>
            <w:pPr>
              <w:autoSpaceDE w:val="0"/>
              <w:autoSpaceDN w:val="0"/>
              <w:adjustRightInd w:val="0"/>
              <w:spacing w:line="360" w:lineRule="auto"/>
              <w:ind w:firstLine="480" w:firstLineChars="200"/>
              <w:rPr>
                <w:rFonts w:cs="Times New Roman"/>
              </w:rPr>
            </w:pPr>
            <w:r>
              <w:rPr>
                <w:rFonts w:cs="Times New Roman"/>
              </w:rPr>
              <w:t>据类比资料实测结果，在土方含水量大于0.5%、风速2.3m/s时，施工现场下风向不同距离的扬尘浓度见下表所示。</w:t>
            </w:r>
          </w:p>
          <w:p>
            <w:pPr>
              <w:pStyle w:val="15"/>
              <w:spacing w:line="240" w:lineRule="auto"/>
              <w:rPr>
                <w:rFonts w:cs="Times New Roman" w:eastAsiaTheme="minorEastAsia"/>
                <w:sz w:val="21"/>
                <w:szCs w:val="21"/>
              </w:rPr>
            </w:pPr>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7.1</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1</w:t>
            </w:r>
            <w:r>
              <w:rPr>
                <w:rFonts w:cs="Times New Roman" w:eastAsiaTheme="minorEastAsia"/>
                <w:sz w:val="21"/>
                <w:szCs w:val="21"/>
              </w:rPr>
              <w:fldChar w:fldCharType="end"/>
            </w:r>
            <w:r>
              <w:rPr>
                <w:rFonts w:cs="Times New Roman" w:eastAsiaTheme="minorEastAsia"/>
                <w:sz w:val="21"/>
                <w:szCs w:val="21"/>
              </w:rPr>
              <w:t xml:space="preserve">  </w:t>
            </w:r>
            <w:r>
              <w:rPr>
                <w:rFonts w:cs="Times New Roman" w:eastAsiaTheme="minorEastAsia"/>
                <w:bCs/>
                <w:sz w:val="21"/>
                <w:szCs w:val="21"/>
              </w:rPr>
              <w:t>施工现场下风向不同距离的扬尘浓度 单位：mg/m</w:t>
            </w:r>
            <w:r>
              <w:rPr>
                <w:rFonts w:cs="Times New Roman" w:eastAsiaTheme="minorEastAsia"/>
                <w:bCs/>
                <w:sz w:val="21"/>
                <w:szCs w:val="21"/>
                <w:vertAlign w:val="superscript"/>
              </w:rPr>
              <w:t>3</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920"/>
              <w:gridCol w:w="1250"/>
              <w:gridCol w:w="1250"/>
              <w:gridCol w:w="1250"/>
              <w:gridCol w:w="1250"/>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5" w:type="pct"/>
                  <w:gridSpan w:val="2"/>
                  <w:vAlign w:val="center"/>
                </w:tcPr>
                <w:p>
                  <w:pPr>
                    <w:autoSpaceDE w:val="0"/>
                    <w:autoSpaceDN w:val="0"/>
                    <w:adjustRightInd w:val="0"/>
                    <w:jc w:val="center"/>
                    <w:rPr>
                      <w:rFonts w:cs="Times New Roman"/>
                      <w:sz w:val="21"/>
                    </w:rPr>
                  </w:pPr>
                  <w:r>
                    <w:rPr>
                      <w:rFonts w:cs="Times New Roman"/>
                      <w:sz w:val="21"/>
                    </w:rPr>
                    <w:t>距离</w:t>
                  </w:r>
                </w:p>
              </w:tc>
              <w:tc>
                <w:tcPr>
                  <w:tcW w:w="753" w:type="pct"/>
                  <w:vAlign w:val="center"/>
                </w:tcPr>
                <w:p>
                  <w:pPr>
                    <w:autoSpaceDE w:val="0"/>
                    <w:autoSpaceDN w:val="0"/>
                    <w:adjustRightInd w:val="0"/>
                    <w:jc w:val="center"/>
                    <w:rPr>
                      <w:rFonts w:cs="Times New Roman"/>
                      <w:sz w:val="21"/>
                    </w:rPr>
                  </w:pPr>
                  <w:r>
                    <w:rPr>
                      <w:rFonts w:cs="Times New Roman"/>
                      <w:sz w:val="21"/>
                    </w:rPr>
                    <w:t>1m</w:t>
                  </w:r>
                </w:p>
              </w:tc>
              <w:tc>
                <w:tcPr>
                  <w:tcW w:w="753" w:type="pct"/>
                  <w:vAlign w:val="center"/>
                </w:tcPr>
                <w:p>
                  <w:pPr>
                    <w:autoSpaceDE w:val="0"/>
                    <w:autoSpaceDN w:val="0"/>
                    <w:adjustRightInd w:val="0"/>
                    <w:jc w:val="center"/>
                    <w:rPr>
                      <w:rFonts w:cs="Times New Roman"/>
                      <w:sz w:val="21"/>
                    </w:rPr>
                  </w:pPr>
                  <w:r>
                    <w:rPr>
                      <w:rFonts w:cs="Times New Roman"/>
                      <w:sz w:val="21"/>
                    </w:rPr>
                    <w:t>15m</w:t>
                  </w:r>
                </w:p>
              </w:tc>
              <w:tc>
                <w:tcPr>
                  <w:tcW w:w="753" w:type="pct"/>
                  <w:vAlign w:val="center"/>
                </w:tcPr>
                <w:p>
                  <w:pPr>
                    <w:autoSpaceDE w:val="0"/>
                    <w:autoSpaceDN w:val="0"/>
                    <w:adjustRightInd w:val="0"/>
                    <w:jc w:val="center"/>
                    <w:rPr>
                      <w:rFonts w:cs="Times New Roman"/>
                      <w:sz w:val="21"/>
                    </w:rPr>
                  </w:pPr>
                  <w:r>
                    <w:rPr>
                      <w:rFonts w:cs="Times New Roman"/>
                      <w:sz w:val="21"/>
                    </w:rPr>
                    <w:t>50m</w:t>
                  </w:r>
                </w:p>
              </w:tc>
              <w:tc>
                <w:tcPr>
                  <w:tcW w:w="753" w:type="pct"/>
                  <w:vAlign w:val="center"/>
                </w:tcPr>
                <w:p>
                  <w:pPr>
                    <w:autoSpaceDE w:val="0"/>
                    <w:autoSpaceDN w:val="0"/>
                    <w:adjustRightInd w:val="0"/>
                    <w:jc w:val="center"/>
                    <w:rPr>
                      <w:rFonts w:cs="Times New Roman"/>
                      <w:sz w:val="21"/>
                    </w:rPr>
                  </w:pPr>
                  <w:r>
                    <w:rPr>
                      <w:rFonts w:cs="Times New Roman"/>
                      <w:sz w:val="21"/>
                    </w:rPr>
                    <w:t>80m</w:t>
                  </w:r>
                </w:p>
              </w:tc>
              <w:tc>
                <w:tcPr>
                  <w:tcW w:w="754" w:type="pct"/>
                  <w:vAlign w:val="center"/>
                </w:tcPr>
                <w:p>
                  <w:pPr>
                    <w:autoSpaceDE w:val="0"/>
                    <w:autoSpaceDN w:val="0"/>
                    <w:adjustRightInd w:val="0"/>
                    <w:jc w:val="center"/>
                    <w:rPr>
                      <w:rFonts w:cs="Times New Roman"/>
                      <w:sz w:val="21"/>
                    </w:rPr>
                  </w:pPr>
                  <w:r>
                    <w:rPr>
                      <w:rFonts w:cs="Times New Roman"/>
                      <w:sz w:val="21"/>
                    </w:rPr>
                    <w:t>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pct"/>
                  <w:vMerge w:val="restart"/>
                  <w:vAlign w:val="center"/>
                </w:tcPr>
                <w:p>
                  <w:pPr>
                    <w:autoSpaceDE w:val="0"/>
                    <w:autoSpaceDN w:val="0"/>
                    <w:adjustRightInd w:val="0"/>
                    <w:jc w:val="center"/>
                    <w:rPr>
                      <w:rFonts w:cs="Times New Roman"/>
                      <w:sz w:val="21"/>
                    </w:rPr>
                  </w:pPr>
                  <w:r>
                    <w:rPr>
                      <w:rFonts w:cs="Times New Roman"/>
                      <w:sz w:val="21"/>
                    </w:rPr>
                    <w:t>TSP浓度</w:t>
                  </w:r>
                </w:p>
              </w:tc>
              <w:tc>
                <w:tcPr>
                  <w:tcW w:w="554" w:type="pct"/>
                  <w:vAlign w:val="center"/>
                </w:tcPr>
                <w:p>
                  <w:pPr>
                    <w:autoSpaceDE w:val="0"/>
                    <w:autoSpaceDN w:val="0"/>
                    <w:adjustRightInd w:val="0"/>
                    <w:jc w:val="center"/>
                    <w:rPr>
                      <w:rFonts w:cs="Times New Roman"/>
                      <w:sz w:val="21"/>
                    </w:rPr>
                  </w:pPr>
                  <w:r>
                    <w:rPr>
                      <w:rFonts w:cs="Times New Roman"/>
                      <w:sz w:val="21"/>
                    </w:rPr>
                    <w:t>未洒水</w:t>
                  </w:r>
                </w:p>
              </w:tc>
              <w:tc>
                <w:tcPr>
                  <w:tcW w:w="753" w:type="pct"/>
                  <w:vAlign w:val="center"/>
                </w:tcPr>
                <w:p>
                  <w:pPr>
                    <w:autoSpaceDE w:val="0"/>
                    <w:autoSpaceDN w:val="0"/>
                    <w:adjustRightInd w:val="0"/>
                    <w:jc w:val="center"/>
                    <w:rPr>
                      <w:rFonts w:cs="Times New Roman"/>
                      <w:sz w:val="21"/>
                    </w:rPr>
                  </w:pPr>
                  <w:r>
                    <w:rPr>
                      <w:rFonts w:cs="Times New Roman"/>
                      <w:sz w:val="21"/>
                    </w:rPr>
                    <w:t>8.234</w:t>
                  </w:r>
                </w:p>
              </w:tc>
              <w:tc>
                <w:tcPr>
                  <w:tcW w:w="753" w:type="pct"/>
                  <w:vAlign w:val="center"/>
                </w:tcPr>
                <w:p>
                  <w:pPr>
                    <w:autoSpaceDE w:val="0"/>
                    <w:autoSpaceDN w:val="0"/>
                    <w:adjustRightInd w:val="0"/>
                    <w:jc w:val="center"/>
                    <w:rPr>
                      <w:rFonts w:cs="Times New Roman"/>
                      <w:sz w:val="21"/>
                    </w:rPr>
                  </w:pPr>
                  <w:r>
                    <w:rPr>
                      <w:rFonts w:cs="Times New Roman"/>
                      <w:sz w:val="21"/>
                    </w:rPr>
                    <w:t>3.423</w:t>
                  </w:r>
                </w:p>
              </w:tc>
              <w:tc>
                <w:tcPr>
                  <w:tcW w:w="753" w:type="pct"/>
                  <w:vAlign w:val="center"/>
                </w:tcPr>
                <w:p>
                  <w:pPr>
                    <w:autoSpaceDE w:val="0"/>
                    <w:autoSpaceDN w:val="0"/>
                    <w:adjustRightInd w:val="0"/>
                    <w:jc w:val="center"/>
                    <w:rPr>
                      <w:rFonts w:cs="Times New Roman"/>
                      <w:sz w:val="21"/>
                    </w:rPr>
                  </w:pPr>
                  <w:r>
                    <w:rPr>
                      <w:rFonts w:cs="Times New Roman"/>
                      <w:sz w:val="21"/>
                    </w:rPr>
                    <w:t>1.489</w:t>
                  </w:r>
                </w:p>
              </w:tc>
              <w:tc>
                <w:tcPr>
                  <w:tcW w:w="753" w:type="pct"/>
                  <w:vAlign w:val="center"/>
                </w:tcPr>
                <w:p>
                  <w:pPr>
                    <w:autoSpaceDE w:val="0"/>
                    <w:autoSpaceDN w:val="0"/>
                    <w:adjustRightInd w:val="0"/>
                    <w:jc w:val="center"/>
                    <w:rPr>
                      <w:rFonts w:cs="Times New Roman"/>
                      <w:sz w:val="21"/>
                    </w:rPr>
                  </w:pPr>
                  <w:r>
                    <w:rPr>
                      <w:rFonts w:cs="Times New Roman"/>
                      <w:sz w:val="21"/>
                    </w:rPr>
                    <w:t>0.752</w:t>
                  </w:r>
                </w:p>
              </w:tc>
              <w:tc>
                <w:tcPr>
                  <w:tcW w:w="754" w:type="pct"/>
                  <w:vAlign w:val="center"/>
                </w:tcPr>
                <w:p>
                  <w:pPr>
                    <w:autoSpaceDE w:val="0"/>
                    <w:autoSpaceDN w:val="0"/>
                    <w:adjustRightInd w:val="0"/>
                    <w:jc w:val="center"/>
                    <w:rPr>
                      <w:rFonts w:cs="Times New Roman"/>
                      <w:sz w:val="21"/>
                    </w:rPr>
                  </w:pPr>
                  <w:r>
                    <w:rPr>
                      <w:rFonts w:cs="Times New Roman"/>
                      <w:sz w:val="21"/>
                    </w:rPr>
                    <w:t>0.493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1" w:type="pct"/>
                  <w:vMerge w:val="continue"/>
                  <w:vAlign w:val="center"/>
                </w:tcPr>
                <w:p>
                  <w:pPr>
                    <w:autoSpaceDE w:val="0"/>
                    <w:autoSpaceDN w:val="0"/>
                    <w:adjustRightInd w:val="0"/>
                    <w:ind w:firstLine="420" w:firstLineChars="200"/>
                    <w:rPr>
                      <w:rFonts w:cs="Times New Roman"/>
                      <w:sz w:val="21"/>
                    </w:rPr>
                  </w:pPr>
                </w:p>
              </w:tc>
              <w:tc>
                <w:tcPr>
                  <w:tcW w:w="554" w:type="pct"/>
                  <w:vAlign w:val="center"/>
                </w:tcPr>
                <w:p>
                  <w:pPr>
                    <w:autoSpaceDE w:val="0"/>
                    <w:autoSpaceDN w:val="0"/>
                    <w:adjustRightInd w:val="0"/>
                    <w:jc w:val="center"/>
                    <w:rPr>
                      <w:rFonts w:cs="Times New Roman"/>
                      <w:sz w:val="21"/>
                    </w:rPr>
                  </w:pPr>
                  <w:r>
                    <w:rPr>
                      <w:rFonts w:cs="Times New Roman"/>
                      <w:sz w:val="21"/>
                    </w:rPr>
                    <w:t>洒水</w:t>
                  </w:r>
                </w:p>
              </w:tc>
              <w:tc>
                <w:tcPr>
                  <w:tcW w:w="753" w:type="pct"/>
                  <w:vAlign w:val="center"/>
                </w:tcPr>
                <w:p>
                  <w:pPr>
                    <w:autoSpaceDE w:val="0"/>
                    <w:autoSpaceDN w:val="0"/>
                    <w:adjustRightInd w:val="0"/>
                    <w:jc w:val="center"/>
                    <w:rPr>
                      <w:rFonts w:cs="Times New Roman"/>
                      <w:sz w:val="21"/>
                    </w:rPr>
                  </w:pPr>
                  <w:r>
                    <w:rPr>
                      <w:rFonts w:cs="Times New Roman"/>
                      <w:sz w:val="21"/>
                    </w:rPr>
                    <w:t>3.744</w:t>
                  </w:r>
                </w:p>
              </w:tc>
              <w:tc>
                <w:tcPr>
                  <w:tcW w:w="753" w:type="pct"/>
                  <w:vAlign w:val="center"/>
                </w:tcPr>
                <w:p>
                  <w:pPr>
                    <w:autoSpaceDE w:val="0"/>
                    <w:autoSpaceDN w:val="0"/>
                    <w:adjustRightInd w:val="0"/>
                    <w:jc w:val="center"/>
                    <w:rPr>
                      <w:rFonts w:cs="Times New Roman"/>
                      <w:sz w:val="21"/>
                    </w:rPr>
                  </w:pPr>
                  <w:r>
                    <w:rPr>
                      <w:rFonts w:cs="Times New Roman"/>
                      <w:sz w:val="21"/>
                    </w:rPr>
                    <w:t>1.630</w:t>
                  </w:r>
                </w:p>
              </w:tc>
              <w:tc>
                <w:tcPr>
                  <w:tcW w:w="753" w:type="pct"/>
                  <w:vAlign w:val="center"/>
                </w:tcPr>
                <w:p>
                  <w:pPr>
                    <w:autoSpaceDE w:val="0"/>
                    <w:autoSpaceDN w:val="0"/>
                    <w:adjustRightInd w:val="0"/>
                    <w:jc w:val="center"/>
                    <w:rPr>
                      <w:rFonts w:cs="Times New Roman"/>
                      <w:sz w:val="21"/>
                    </w:rPr>
                  </w:pPr>
                  <w:r>
                    <w:rPr>
                      <w:rFonts w:cs="Times New Roman"/>
                      <w:sz w:val="21"/>
                    </w:rPr>
                    <w:t>0.785</w:t>
                  </w:r>
                </w:p>
              </w:tc>
              <w:tc>
                <w:tcPr>
                  <w:tcW w:w="753" w:type="pct"/>
                  <w:vAlign w:val="center"/>
                </w:tcPr>
                <w:p>
                  <w:pPr>
                    <w:autoSpaceDE w:val="0"/>
                    <w:autoSpaceDN w:val="0"/>
                    <w:adjustRightInd w:val="0"/>
                    <w:jc w:val="center"/>
                    <w:rPr>
                      <w:rFonts w:cs="Times New Roman"/>
                      <w:sz w:val="21"/>
                    </w:rPr>
                  </w:pPr>
                  <w:r>
                    <w:rPr>
                      <w:rFonts w:cs="Times New Roman"/>
                      <w:sz w:val="21"/>
                    </w:rPr>
                    <w:t>0.469</w:t>
                  </w:r>
                </w:p>
              </w:tc>
              <w:tc>
                <w:tcPr>
                  <w:tcW w:w="754" w:type="pct"/>
                  <w:vAlign w:val="center"/>
                </w:tcPr>
                <w:p>
                  <w:pPr>
                    <w:autoSpaceDE w:val="0"/>
                    <w:autoSpaceDN w:val="0"/>
                    <w:adjustRightInd w:val="0"/>
                    <w:jc w:val="center"/>
                    <w:rPr>
                      <w:rFonts w:cs="Times New Roman"/>
                      <w:sz w:val="21"/>
                    </w:rPr>
                  </w:pPr>
                  <w:r>
                    <w:rPr>
                      <w:rFonts w:cs="Times New Roman"/>
                      <w:sz w:val="21"/>
                    </w:rPr>
                    <w:t>0.246</w:t>
                  </w:r>
                </w:p>
              </w:tc>
            </w:tr>
          </w:tbl>
          <w:p>
            <w:pPr>
              <w:autoSpaceDE w:val="0"/>
              <w:autoSpaceDN w:val="0"/>
              <w:adjustRightInd w:val="0"/>
              <w:spacing w:line="360" w:lineRule="auto"/>
              <w:ind w:firstLine="480" w:firstLineChars="200"/>
              <w:rPr>
                <w:rFonts w:hint="default" w:cs="Times New Roman" w:eastAsiaTheme="minorEastAsia"/>
                <w:lang w:val="en-US" w:eastAsia="zh-CN"/>
              </w:rPr>
            </w:pPr>
            <w:r>
              <w:rPr>
                <w:rFonts w:cs="Times New Roman"/>
              </w:rPr>
              <w:t>由上表可知，施工场地经洒水处理后，在距离施工现场150m处，施工现场下风向的扬尘浓度能够达到《大气污染物综合排放标准》（GB16297-1996）中的二级标准要求。且施工期大气环境的影响是暂时的，随施工的结束而结束。环评建议施工方文明施工，大风天气严禁施工，建材和渣土运输要尽量减少洒漏，禁止乱堆乱放，并及时清理、适时多次洒水以达到降尘的目的，减少施工扬尘对周边环境的影响。</w:t>
            </w:r>
          </w:p>
          <w:p>
            <w:pPr>
              <w:autoSpaceDE w:val="0"/>
              <w:autoSpaceDN w:val="0"/>
              <w:adjustRightInd w:val="0"/>
              <w:spacing w:line="360" w:lineRule="auto"/>
              <w:ind w:firstLine="480" w:firstLineChars="20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汽车尾气</w:t>
            </w:r>
          </w:p>
          <w:p>
            <w:pPr>
              <w:autoSpaceDE w:val="0"/>
              <w:autoSpaceDN w:val="0"/>
              <w:adjustRightInd w:val="0"/>
              <w:spacing w:line="360" w:lineRule="auto"/>
              <w:ind w:firstLine="480" w:firstLineChars="200"/>
              <w:rPr>
                <w:rFonts w:cs="Times New Roman"/>
              </w:rPr>
            </w:pPr>
            <w:r>
              <w:rPr>
                <w:rFonts w:cs="Times New Roman"/>
                <w:szCs w:val="32"/>
              </w:rPr>
              <w:t>施工车辆尾气主要来自推土机、挖掘机、运输车辆产生的燃油汽车尾气，主要污染物为THC、NO</w:t>
            </w:r>
            <w:r>
              <w:rPr>
                <w:rFonts w:cs="Times New Roman"/>
                <w:szCs w:val="32"/>
                <w:vertAlign w:val="subscript"/>
              </w:rPr>
              <w:t>x</w:t>
            </w:r>
            <w:r>
              <w:rPr>
                <w:rFonts w:cs="Times New Roman"/>
                <w:szCs w:val="32"/>
              </w:rPr>
              <w:t>、CO等</w:t>
            </w:r>
            <w:r>
              <w:rPr>
                <w:rFonts w:cs="Times New Roman"/>
              </w:rPr>
              <w:t>，特点是产生量较小，属间歇式、分散式排放，其污染程度较小。通过加强施工设备维护、保养，各类施工设备要保持良好的运行状态，能够大大减少运输车辆和施工机械排放的尾气，对周边大气环境造成影响较小。</w:t>
            </w:r>
          </w:p>
          <w:p>
            <w:pPr>
              <w:autoSpaceDE w:val="0"/>
              <w:autoSpaceDN w:val="0"/>
              <w:adjustRightInd w:val="0"/>
              <w:spacing w:line="360" w:lineRule="auto"/>
              <w:ind w:firstLine="480" w:firstLineChars="200"/>
              <w:rPr>
                <w:rFonts w:cs="Times New Roman"/>
              </w:rPr>
            </w:pPr>
            <w:r>
              <w:rPr>
                <w:rFonts w:cs="Times New Roman"/>
              </w:rPr>
              <w:t>综上所述，当施工期严格执行本环评提出的措施之后，对大气环境的影响较小，项目对大气影响将随着施工期的结束而结束。</w:t>
            </w:r>
          </w:p>
          <w:p>
            <w:pPr>
              <w:pStyle w:val="7"/>
              <w:rPr>
                <w:rFonts w:cs="Times New Roman" w:eastAsiaTheme="minorEastAsia"/>
              </w:rPr>
            </w:pPr>
            <w:r>
              <w:rPr>
                <w:rFonts w:cs="Times New Roman" w:eastAsiaTheme="minorEastAsia"/>
              </w:rPr>
              <w:t>施工期噪声环境影响分析</w:t>
            </w:r>
          </w:p>
          <w:p>
            <w:pPr>
              <w:autoSpaceDE w:val="0"/>
              <w:autoSpaceDN w:val="0"/>
              <w:adjustRightInd w:val="0"/>
              <w:snapToGrid w:val="0"/>
              <w:spacing w:line="360" w:lineRule="auto"/>
              <w:ind w:firstLine="480" w:firstLineChars="200"/>
              <w:rPr>
                <w:rFonts w:cs="Times New Roman"/>
              </w:rPr>
            </w:pPr>
            <w:r>
              <w:rPr>
                <w:rFonts w:cs="Times New Roman"/>
              </w:rPr>
              <w:t>施工期间主要噪声源有施工设备和各种运输车辆等，其运行噪声值一般在80～95dB(A)之间，最高瞬时值约95dB(A)。建筑施工作业一般位于露天，各种施工机械、设备噪声此起比伏，其噪声传播距离远，都为临时性声源。</w:t>
            </w:r>
          </w:p>
          <w:p>
            <w:pPr>
              <w:pStyle w:val="113"/>
              <w:spacing w:before="0" w:line="360" w:lineRule="auto"/>
              <w:ind w:firstLine="480"/>
              <w:rPr>
                <w:rFonts w:ascii="Times New Roman" w:hAnsi="Times New Roman" w:cs="Times New Roman"/>
                <w:szCs w:val="24"/>
              </w:rPr>
            </w:pPr>
            <w:r>
              <w:rPr>
                <w:rFonts w:ascii="Times New Roman" w:hAnsi="Times New Roman" w:cs="Times New Roman"/>
                <w:szCs w:val="24"/>
              </w:rPr>
              <w:t>为了减轻施工噪声对周边环境的影响，建设单位在施工中需采取以下的防护措施：①</w:t>
            </w:r>
            <w:r>
              <w:rPr>
                <w:rFonts w:hint="eastAsia" w:ascii="Times New Roman" w:hAnsi="Times New Roman" w:cs="Times New Roman"/>
                <w:szCs w:val="24"/>
              </w:rPr>
              <w:t>夜间施工必须报请环境保护管理部门同意，同时要做好对周边居民的公告和沟通工作。如夜间须安排噪声较大的施工操作，建议在这些噪声较大的施工机械周围设置一些临时的隔声屏障，以减小噪声对近距离居民的影响</w:t>
            </w:r>
            <w:r>
              <w:rPr>
                <w:rFonts w:ascii="Times New Roman" w:hAnsi="Times New Roman" w:cs="Times New Roman"/>
                <w:szCs w:val="24"/>
              </w:rPr>
              <w:t>；②加强施工期管理，合理安排施工工序，合理进行施工平面布置，使高噪声施工设备尽量远离居民点；③采用低噪声施工机械，对施工机械定期维修保养，使机械设备保持最佳工作状态，使噪声影响降低到最小范围；④运输车辆要采取减速缓行、禁止鸣笛等措施。</w:t>
            </w:r>
          </w:p>
          <w:p>
            <w:pPr>
              <w:autoSpaceDE w:val="0"/>
              <w:autoSpaceDN w:val="0"/>
              <w:adjustRightInd w:val="0"/>
              <w:snapToGrid w:val="0"/>
              <w:spacing w:line="360" w:lineRule="auto"/>
              <w:ind w:firstLine="480" w:firstLineChars="200"/>
              <w:rPr>
                <w:rFonts w:cs="Times New Roman"/>
              </w:rPr>
            </w:pPr>
            <w:r>
              <w:rPr>
                <w:rFonts w:cs="Times New Roman"/>
              </w:rPr>
              <w:t>当采取上述措施后，施工噪声对周围环境的影响较小，并且随施工的结束，施工噪声影响也将随之消失。</w:t>
            </w:r>
          </w:p>
          <w:p>
            <w:pPr>
              <w:pStyle w:val="7"/>
              <w:rPr>
                <w:rFonts w:cs="Times New Roman" w:eastAsiaTheme="minorEastAsia"/>
              </w:rPr>
            </w:pPr>
            <w:r>
              <w:rPr>
                <w:rFonts w:cs="Times New Roman" w:eastAsiaTheme="minorEastAsia"/>
              </w:rPr>
              <w:t>固体废弃物环境影响分析</w:t>
            </w:r>
          </w:p>
          <w:p>
            <w:pPr>
              <w:autoSpaceDE w:val="0"/>
              <w:autoSpaceDN w:val="0"/>
              <w:adjustRightInd w:val="0"/>
              <w:spacing w:line="360" w:lineRule="auto"/>
              <w:ind w:firstLine="480" w:firstLineChars="200"/>
              <w:rPr>
                <w:rFonts w:cs="Times New Roman"/>
              </w:rPr>
            </w:pPr>
            <w:r>
              <w:rPr>
                <w:rFonts w:cs="Times New Roman"/>
              </w:rPr>
              <w:t>项目施工期产生的固体废物主要包括施工过程产生的开挖土方、建筑垃圾和施工人员产生的生活垃圾。</w:t>
            </w:r>
          </w:p>
          <w:p>
            <w:pPr>
              <w:autoSpaceDE w:val="0"/>
              <w:autoSpaceDN w:val="0"/>
              <w:adjustRightInd w:val="0"/>
              <w:spacing w:line="360" w:lineRule="auto"/>
              <w:ind w:firstLine="480" w:firstLineChars="200"/>
              <w:rPr>
                <w:rFonts w:cs="Times New Roman"/>
              </w:rPr>
            </w:pPr>
            <w:r>
              <w:rPr>
                <w:rFonts w:cs="Times New Roman"/>
              </w:rPr>
              <w:t>根据建设单位初步设计，开挖土方全部在场地内平衡，出现富余时，用作项目内道路路基填方；建筑垃圾产生量为360t，经分类收集后统一送到垃圾收集点，由环卫部门处理；生活垃圾产生量为50kg/d，经收集后统一送到垃圾收集点，由环卫部门处理。</w:t>
            </w:r>
          </w:p>
          <w:p>
            <w:pPr>
              <w:autoSpaceDE w:val="0"/>
              <w:autoSpaceDN w:val="0"/>
              <w:adjustRightInd w:val="0"/>
              <w:spacing w:line="360" w:lineRule="auto"/>
              <w:ind w:firstLine="480" w:firstLineChars="200"/>
              <w:rPr>
                <w:rFonts w:cs="Times New Roman"/>
              </w:rPr>
            </w:pPr>
            <w:r>
              <w:rPr>
                <w:rFonts w:cs="Times New Roman"/>
              </w:rPr>
              <w:t>施工期产生的固体废弃物对环境有一定的影响，但由于施工期固体废弃物影响范围主要在施工区，因此，只要加强施工管理，并对固废进行妥善处理，施工期固体废弃物对环境影响较小，并随着施工期的结束而消失。</w:t>
            </w:r>
          </w:p>
          <w:p>
            <w:pPr>
              <w:pStyle w:val="6"/>
              <w:rPr>
                <w:rFonts w:cs="Times New Roman"/>
              </w:rPr>
            </w:pPr>
            <w:r>
              <w:rPr>
                <w:rFonts w:cs="Times New Roman"/>
              </w:rPr>
              <w:t>营运期环境影响分析</w:t>
            </w:r>
          </w:p>
          <w:p>
            <w:pPr>
              <w:pStyle w:val="7"/>
              <w:rPr>
                <w:rFonts w:cs="Times New Roman" w:eastAsiaTheme="minorEastAsia"/>
                <w:b w:val="0"/>
                <w:szCs w:val="21"/>
              </w:rPr>
            </w:pPr>
            <w:r>
              <w:rPr>
                <w:rFonts w:cs="Times New Roman" w:eastAsiaTheme="minorEastAsia"/>
                <w:b w:val="0"/>
                <w:szCs w:val="21"/>
              </w:rPr>
              <w:t>营运期地表水环境影响分析</w:t>
            </w:r>
          </w:p>
          <w:p>
            <w:pPr>
              <w:spacing w:line="360" w:lineRule="auto"/>
              <w:ind w:firstLine="480" w:firstLineChars="200"/>
              <w:rPr>
                <w:rFonts w:cs="Times New Roman"/>
              </w:rPr>
            </w:pPr>
            <w:r>
              <w:rPr>
                <w:rFonts w:cs="Times New Roman"/>
              </w:rPr>
              <w:t>﹙1﹚评价等级确定</w:t>
            </w:r>
          </w:p>
          <w:p>
            <w:pPr>
              <w:pStyle w:val="113"/>
              <w:spacing w:before="0" w:line="360" w:lineRule="auto"/>
              <w:ind w:firstLine="480"/>
              <w:rPr>
                <w:rFonts w:ascii="Times New Roman" w:hAnsi="Times New Roman" w:cs="Times New Roman"/>
                <w:szCs w:val="24"/>
              </w:rPr>
            </w:pPr>
            <w:r>
              <w:rPr>
                <w:rFonts w:ascii="Times New Roman" w:hAnsi="Times New Roman" w:cs="Times New Roman"/>
                <w:szCs w:val="24"/>
              </w:rPr>
              <w:t>根据《环境影响评价技术导则—地表水环境》（HJ2.3-2018）规定，地表水评价工作等级的划分是由建设项目的废水排放方式、排放量和水污染物当量数进行确定的，本项目地表水评价级别判据见下表所示。</w:t>
            </w:r>
          </w:p>
          <w:p>
            <w:pPr>
              <w:pStyle w:val="15"/>
              <w:spacing w:line="240" w:lineRule="auto"/>
              <w:rPr>
                <w:rFonts w:cs="Times New Roman" w:eastAsiaTheme="minorEastAsia"/>
                <w:sz w:val="21"/>
                <w:szCs w:val="21"/>
              </w:rPr>
            </w:pPr>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7.2</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1</w:t>
            </w:r>
            <w:r>
              <w:rPr>
                <w:rFonts w:cs="Times New Roman" w:eastAsiaTheme="minorEastAsia"/>
                <w:sz w:val="21"/>
                <w:szCs w:val="21"/>
              </w:rPr>
              <w:fldChar w:fldCharType="end"/>
            </w:r>
            <w:r>
              <w:rPr>
                <w:rFonts w:cs="Times New Roman" w:eastAsiaTheme="minorEastAsia"/>
                <w:sz w:val="21"/>
                <w:szCs w:val="21"/>
              </w:rPr>
              <w:t xml:space="preserve">  地表水评价级别判据</w:t>
            </w:r>
          </w:p>
          <w:tbl>
            <w:tblPr>
              <w:tblStyle w:val="33"/>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40"/>
              <w:gridCol w:w="1653"/>
              <w:gridCol w:w="52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09" w:type="pct"/>
                  <w:vMerge w:val="restart"/>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center"/>
                    <w:rPr>
                      <w:rFonts w:cs="Times New Roman"/>
                      <w:sz w:val="21"/>
                    </w:rPr>
                  </w:pPr>
                  <w:r>
                    <w:rPr>
                      <w:rFonts w:cs="Times New Roman"/>
                      <w:sz w:val="21"/>
                    </w:rPr>
                    <w:t>评价等级</w:t>
                  </w:r>
                </w:p>
              </w:tc>
              <w:tc>
                <w:tcPr>
                  <w:tcW w:w="4190" w:type="pct"/>
                  <w:gridSpan w:val="2"/>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Fonts w:cs="Times New Roman"/>
                      <w:sz w:val="21"/>
                    </w:rPr>
                  </w:pPr>
                  <w:r>
                    <w:rPr>
                      <w:rFonts w:cs="Times New Roman"/>
                      <w:sz w:val="21"/>
                    </w:rPr>
                    <w:t>受纳水体情况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09" w:type="pct"/>
                  <w:vMerge w:val="continue"/>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left"/>
                    <w:rPr>
                      <w:rFonts w:cs="Times New Roman"/>
                      <w:sz w:val="21"/>
                    </w:rPr>
                  </w:pPr>
                </w:p>
              </w:tc>
              <w:tc>
                <w:tcPr>
                  <w:tcW w:w="9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排放方式</w:t>
                  </w:r>
                </w:p>
              </w:tc>
              <w:tc>
                <w:tcPr>
                  <w:tcW w:w="3192"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Fonts w:cs="Times New Roman"/>
                      <w:sz w:val="21"/>
                    </w:rPr>
                  </w:pPr>
                  <w:r>
                    <w:rPr>
                      <w:rFonts w:cs="Times New Roman"/>
                      <w:sz w:val="21"/>
                    </w:rPr>
                    <w:t>废水排放量 Q/（m</w:t>
                  </w:r>
                  <w:r>
                    <w:rPr>
                      <w:rFonts w:cs="Times New Roman"/>
                      <w:sz w:val="21"/>
                      <w:vertAlign w:val="superscript"/>
                    </w:rPr>
                    <w:t>3</w:t>
                  </w:r>
                  <w:r>
                    <w:rPr>
                      <w:rFonts w:cs="Times New Roman"/>
                      <w:sz w:val="21"/>
                    </w:rPr>
                    <w:t>/d）水污染物当量数 W/（无量纲）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09" w:type="pct"/>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一级</w:t>
                  </w:r>
                </w:p>
              </w:tc>
              <w:tc>
                <w:tcPr>
                  <w:tcW w:w="9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直接排放</w:t>
                  </w:r>
                </w:p>
              </w:tc>
              <w:tc>
                <w:tcPr>
                  <w:tcW w:w="3192"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Fonts w:cs="Times New Roman"/>
                      <w:sz w:val="21"/>
                    </w:rPr>
                  </w:pPr>
                  <w:r>
                    <w:rPr>
                      <w:rFonts w:cs="Times New Roman"/>
                      <w:sz w:val="21"/>
                    </w:rPr>
                    <w:t>Q≥20000 或 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09" w:type="pct"/>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二级</w:t>
                  </w:r>
                </w:p>
              </w:tc>
              <w:tc>
                <w:tcPr>
                  <w:tcW w:w="9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直接排放</w:t>
                  </w:r>
                </w:p>
              </w:tc>
              <w:tc>
                <w:tcPr>
                  <w:tcW w:w="3192"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Fonts w:cs="Times New Roman"/>
                      <w:sz w:val="21"/>
                    </w:rPr>
                  </w:pPr>
                  <w:r>
                    <w:rPr>
                      <w:rFonts w:cs="Times New Roman"/>
                      <w:sz w:val="21"/>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trPr>
              <w:tc>
                <w:tcPr>
                  <w:tcW w:w="809" w:type="pct"/>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三级A</w:t>
                  </w:r>
                </w:p>
              </w:tc>
              <w:tc>
                <w:tcPr>
                  <w:tcW w:w="998"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cs="Times New Roman"/>
                      <w:sz w:val="21"/>
                    </w:rPr>
                  </w:pPr>
                  <w:r>
                    <w:rPr>
                      <w:rFonts w:cs="Times New Roman"/>
                      <w:sz w:val="21"/>
                    </w:rPr>
                    <w:t>直接排放</w:t>
                  </w:r>
                </w:p>
              </w:tc>
              <w:tc>
                <w:tcPr>
                  <w:tcW w:w="3192" w:type="pct"/>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Fonts w:cs="Times New Roman"/>
                      <w:sz w:val="21"/>
                    </w:rPr>
                  </w:pPr>
                  <w:r>
                    <w:rPr>
                      <w:rFonts w:cs="Times New Roman"/>
                      <w:sz w:val="21"/>
                    </w:rPr>
                    <w:t>Q&lt;200 且 W&lt;6000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pct"/>
                  <w:tcBorders>
                    <w:top w:val="single" w:color="000000" w:sz="4" w:space="0"/>
                    <w:left w:val="single" w:color="auto" w:sz="4" w:space="0"/>
                    <w:bottom w:val="single" w:color="auto" w:sz="4" w:space="0"/>
                    <w:right w:val="single" w:color="000000" w:sz="4" w:space="0"/>
                  </w:tcBorders>
                  <w:vAlign w:val="center"/>
                </w:tcPr>
                <w:p>
                  <w:pPr>
                    <w:adjustRightInd w:val="0"/>
                    <w:snapToGrid w:val="0"/>
                    <w:jc w:val="center"/>
                    <w:rPr>
                      <w:rFonts w:cs="Times New Roman"/>
                      <w:sz w:val="21"/>
                    </w:rPr>
                  </w:pPr>
                  <w:r>
                    <w:rPr>
                      <w:rFonts w:cs="Times New Roman"/>
                      <w:sz w:val="21"/>
                    </w:rPr>
                    <w:t>三级B</w:t>
                  </w:r>
                </w:p>
              </w:tc>
              <w:tc>
                <w:tcPr>
                  <w:tcW w:w="998" w:type="pct"/>
                  <w:tcBorders>
                    <w:top w:val="single" w:color="000000" w:sz="4" w:space="0"/>
                    <w:left w:val="single" w:color="000000" w:sz="4" w:space="0"/>
                    <w:bottom w:val="single" w:color="auto" w:sz="4" w:space="0"/>
                    <w:right w:val="single" w:color="000000" w:sz="4" w:space="0"/>
                  </w:tcBorders>
                  <w:vAlign w:val="center"/>
                </w:tcPr>
                <w:p>
                  <w:pPr>
                    <w:adjustRightInd w:val="0"/>
                    <w:snapToGrid w:val="0"/>
                    <w:jc w:val="center"/>
                    <w:rPr>
                      <w:rFonts w:cs="Times New Roman"/>
                      <w:sz w:val="21"/>
                    </w:rPr>
                  </w:pPr>
                  <w:r>
                    <w:rPr>
                      <w:rFonts w:cs="Times New Roman"/>
                      <w:sz w:val="21"/>
                    </w:rPr>
                    <w:t>间接排放</w:t>
                  </w:r>
                </w:p>
              </w:tc>
              <w:tc>
                <w:tcPr>
                  <w:tcW w:w="3192" w:type="pct"/>
                  <w:tcBorders>
                    <w:top w:val="single" w:color="000000" w:sz="4" w:space="0"/>
                    <w:left w:val="single" w:color="000000"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w:t>
                  </w:r>
                </w:p>
              </w:tc>
            </w:tr>
          </w:tbl>
          <w:p>
            <w:pPr>
              <w:adjustRightInd w:val="0"/>
              <w:snapToGrid w:val="0"/>
              <w:spacing w:line="360" w:lineRule="auto"/>
              <w:ind w:firstLine="480" w:firstLineChars="200"/>
              <w:rPr>
                <w:rFonts w:cs="Times New Roman"/>
              </w:rPr>
            </w:pPr>
            <w:r>
              <w:rPr>
                <w:rFonts w:cs="Times New Roman"/>
              </w:rPr>
              <w:t>本项目营运期产生的废水主要为生产废水和生活废水。本项目生产废水主要为生产废水及生活废水，生产废水经沉淀池处理后循环使用不外排；生活废水经隔油池及化粪池处理后通过市政管网进入湖南城陵矶临港产业新区污水处理厂处理达标后外排长江。按照《环境影响评价技术导则 地表水环境》（HJ 2.3-2018）评价等级划分的规定，确定水环境评价工作等级为三级B，不进行水环境影响预测，仅对项目水污染控制措施和水环境影响减缓措施有效性评价。</w:t>
            </w:r>
          </w:p>
          <w:p>
            <w:pPr>
              <w:adjustRightInd w:val="0"/>
              <w:snapToGrid w:val="0"/>
              <w:spacing w:line="360" w:lineRule="auto"/>
              <w:ind w:firstLine="480" w:firstLineChars="200"/>
              <w:rPr>
                <w:rFonts w:cs="Times New Roman"/>
              </w:rPr>
            </w:pPr>
            <w:r>
              <w:rPr>
                <w:rFonts w:cs="Times New Roman"/>
              </w:rPr>
              <w:t>（2）水污染控制和减缓措施评价</w:t>
            </w:r>
          </w:p>
          <w:p>
            <w:pPr>
              <w:pStyle w:val="118"/>
              <w:adjustRightInd w:val="0"/>
              <w:snapToGrid w:val="0"/>
              <w:ind w:firstLine="480" w:firstLineChars="200"/>
              <w:jc w:val="left"/>
              <w:rPr>
                <w:rFonts w:eastAsiaTheme="minorEastAsia"/>
              </w:rPr>
            </w:pPr>
            <w:r>
              <w:rPr>
                <w:rFonts w:eastAsiaTheme="minorEastAsia"/>
              </w:rPr>
              <w:t>本项目生产废水经沉淀后回用，雨水设置雨水池收集，生活废水经化粪池沉淀后排入湖南城陵矶临港产业新区污水处理厂处理。</w:t>
            </w:r>
          </w:p>
          <w:p>
            <w:pPr>
              <w:pStyle w:val="118"/>
              <w:adjustRightInd w:val="0"/>
              <w:snapToGrid w:val="0"/>
              <w:ind w:firstLine="480" w:firstLineChars="200"/>
              <w:jc w:val="left"/>
              <w:rPr>
                <w:rFonts w:eastAsiaTheme="minorEastAsia"/>
                <w:color w:val="000000" w:themeColor="text1"/>
                <w:u w:val="single"/>
              </w:rPr>
            </w:pPr>
            <w:r>
              <w:rPr>
                <w:rFonts w:eastAsiaTheme="minorEastAsia"/>
                <w:color w:val="000000" w:themeColor="text1"/>
                <w:u w:val="single"/>
              </w:rPr>
              <w:t>本项目排水采用雨污分流制，本项目在西北面设置了380m</w:t>
            </w:r>
            <w:r>
              <w:rPr>
                <w:rFonts w:eastAsiaTheme="minorEastAsia"/>
                <w:color w:val="000000" w:themeColor="text1"/>
                <w:u w:val="single"/>
                <w:vertAlign w:val="superscript"/>
              </w:rPr>
              <w:t>3</w:t>
            </w:r>
            <w:r>
              <w:rPr>
                <w:rFonts w:eastAsiaTheme="minorEastAsia"/>
                <w:color w:val="000000" w:themeColor="text1"/>
                <w:u w:val="single"/>
              </w:rPr>
              <w:t>的</w:t>
            </w:r>
            <w:r>
              <w:rPr>
                <w:rFonts w:hint="eastAsia" w:eastAsiaTheme="minorEastAsia"/>
                <w:color w:val="000000" w:themeColor="text1"/>
                <w:u w:val="single"/>
              </w:rPr>
              <w:t>初期</w:t>
            </w:r>
            <w:r>
              <w:rPr>
                <w:rFonts w:eastAsiaTheme="minorEastAsia"/>
                <w:color w:val="000000" w:themeColor="text1"/>
                <w:u w:val="single"/>
              </w:rPr>
              <w:t>雨水沉淀池，雨水通过厂区内雨水管网收集进入雨水沉淀池。经沉淀池处理后部分用于洒水抑尘，雨水池设计规模为380m</w:t>
            </w:r>
            <w:r>
              <w:rPr>
                <w:rFonts w:eastAsiaTheme="minorEastAsia"/>
                <w:color w:val="000000" w:themeColor="text1"/>
                <w:u w:val="single"/>
                <w:vertAlign w:val="superscript"/>
              </w:rPr>
              <w:t>3</w:t>
            </w:r>
            <w:r>
              <w:rPr>
                <w:rFonts w:eastAsiaTheme="minorEastAsia"/>
                <w:color w:val="000000" w:themeColor="text1"/>
                <w:u w:val="single"/>
              </w:rPr>
              <w:t>（6m*9.5m*5m），</w:t>
            </w:r>
            <w:r>
              <w:rPr>
                <w:rFonts w:hint="eastAsia" w:eastAsiaTheme="minorEastAsia"/>
                <w:color w:val="000000" w:themeColor="text1"/>
                <w:u w:val="single"/>
              </w:rPr>
              <w:t>暴雨条件下初期</w:t>
            </w:r>
            <w:r>
              <w:rPr>
                <w:rFonts w:eastAsiaTheme="minorEastAsia"/>
                <w:color w:val="000000" w:themeColor="text1"/>
                <w:u w:val="single"/>
              </w:rPr>
              <w:t>雨水量为376.1m</w:t>
            </w:r>
            <w:r>
              <w:rPr>
                <w:rFonts w:eastAsiaTheme="minorEastAsia"/>
                <w:color w:val="000000" w:themeColor="text1"/>
                <w:u w:val="single"/>
                <w:vertAlign w:val="superscript"/>
              </w:rPr>
              <w:t>3</w:t>
            </w:r>
            <w:r>
              <w:rPr>
                <w:rFonts w:eastAsiaTheme="minorEastAsia"/>
                <w:color w:val="000000" w:themeColor="text1"/>
                <w:u w:val="single"/>
              </w:rPr>
              <w:t>/次，故本项目设计的雨水池满足要求。</w:t>
            </w:r>
            <w:r>
              <w:rPr>
                <w:rFonts w:eastAsiaTheme="minorEastAsia"/>
                <w:bCs/>
                <w:color w:val="000000" w:themeColor="text1"/>
                <w:u w:val="single"/>
              </w:rPr>
              <w:t>初期雨水通过厂区内雨水管网收集进入雨水沉淀池（沉淀池设置截止阀），</w:t>
            </w:r>
            <w:r>
              <w:rPr>
                <w:rFonts w:hint="eastAsia" w:eastAsiaTheme="minorEastAsia"/>
                <w:bCs/>
                <w:color w:val="000000" w:themeColor="text1"/>
                <w:u w:val="single"/>
              </w:rPr>
              <w:t>初期雨水</w:t>
            </w:r>
            <w:r>
              <w:rPr>
                <w:rFonts w:eastAsiaTheme="minorEastAsia"/>
                <w:bCs/>
                <w:color w:val="000000" w:themeColor="text1"/>
                <w:u w:val="single"/>
              </w:rPr>
              <w:t>经沉淀池处理后用于</w:t>
            </w:r>
            <w:r>
              <w:rPr>
                <w:rFonts w:hint="eastAsia" w:eastAsiaTheme="minorEastAsia"/>
                <w:bCs/>
                <w:color w:val="000000" w:themeColor="text1"/>
                <w:u w:val="single"/>
              </w:rPr>
              <w:t>厂区</w:t>
            </w:r>
            <w:r>
              <w:rPr>
                <w:rFonts w:eastAsiaTheme="minorEastAsia"/>
                <w:bCs/>
                <w:color w:val="000000" w:themeColor="text1"/>
                <w:u w:val="single"/>
              </w:rPr>
              <w:t>抑尘，后期雨水排入项目西侧的水渠。</w:t>
            </w:r>
          </w:p>
          <w:p>
            <w:pPr>
              <w:pStyle w:val="7"/>
              <w:numPr>
                <w:ilvl w:val="0"/>
                <w:numId w:val="0"/>
              </w:numPr>
              <w:adjustRightInd w:val="0"/>
              <w:snapToGrid w:val="0"/>
              <w:ind w:firstLine="480" w:firstLineChars="200"/>
              <w:rPr>
                <w:rFonts w:cs="Times New Roman" w:eastAsiaTheme="minorEastAsia"/>
                <w:b w:val="0"/>
                <w:color w:val="000000" w:themeColor="text1"/>
                <w:szCs w:val="21"/>
              </w:rPr>
            </w:pPr>
            <w:r>
              <w:rPr>
                <w:rFonts w:cs="Times New Roman" w:eastAsiaTheme="minorEastAsia"/>
                <w:b w:val="0"/>
                <w:color w:val="000000" w:themeColor="text1"/>
                <w:szCs w:val="21"/>
              </w:rPr>
              <w:t>根据本项目工程分析可知，本项目废水产生量为</w:t>
            </w:r>
            <w:r>
              <w:rPr>
                <w:rFonts w:hint="eastAsia" w:cs="Times New Roman" w:eastAsiaTheme="minorEastAsia"/>
                <w:b w:val="0"/>
                <w:color w:val="000000" w:themeColor="text1"/>
                <w:szCs w:val="21"/>
              </w:rPr>
              <w:t>115.2</w:t>
            </w:r>
            <w:r>
              <w:rPr>
                <w:rFonts w:cs="Times New Roman" w:eastAsiaTheme="minorEastAsia"/>
                <w:b w:val="0"/>
                <w:color w:val="000000" w:themeColor="text1"/>
                <w:szCs w:val="21"/>
              </w:rPr>
              <w:t>m</w:t>
            </w:r>
            <w:r>
              <w:rPr>
                <w:rFonts w:cs="Times New Roman" w:eastAsiaTheme="minorEastAsia"/>
                <w:b w:val="0"/>
                <w:color w:val="000000" w:themeColor="text1"/>
                <w:szCs w:val="21"/>
                <w:vertAlign w:val="superscript"/>
              </w:rPr>
              <w:t>3</w:t>
            </w:r>
            <w:r>
              <w:rPr>
                <w:rFonts w:cs="Times New Roman" w:eastAsiaTheme="minorEastAsia"/>
                <w:b w:val="0"/>
                <w:color w:val="000000" w:themeColor="text1"/>
                <w:szCs w:val="21"/>
              </w:rPr>
              <w:t>/d，本项目设计废水停留时间为2h，新建废水处理的</w:t>
            </w:r>
            <w:r>
              <w:rPr>
                <w:rFonts w:hint="eastAsia" w:cs="Times New Roman" w:eastAsiaTheme="minorEastAsia"/>
                <w:b w:val="0"/>
                <w:color w:val="000000" w:themeColor="text1"/>
                <w:szCs w:val="21"/>
              </w:rPr>
              <w:t>储罐</w:t>
            </w:r>
            <w:r>
              <w:rPr>
                <w:rFonts w:cs="Times New Roman" w:eastAsiaTheme="minorEastAsia"/>
                <w:b w:val="0"/>
                <w:color w:val="000000" w:themeColor="text1"/>
                <w:szCs w:val="21"/>
              </w:rPr>
              <w:t>容积为</w:t>
            </w:r>
            <w:r>
              <w:rPr>
                <w:rFonts w:hint="eastAsia" w:cs="Times New Roman" w:eastAsiaTheme="minorEastAsia"/>
                <w:b w:val="0"/>
                <w:color w:val="000000" w:themeColor="text1"/>
                <w:szCs w:val="21"/>
              </w:rPr>
              <w:t>80</w:t>
            </w:r>
            <w:r>
              <w:rPr>
                <w:rFonts w:cs="Times New Roman" w:eastAsiaTheme="minorEastAsia"/>
                <w:b w:val="0"/>
                <w:color w:val="000000" w:themeColor="text1"/>
                <w:szCs w:val="21"/>
              </w:rPr>
              <w:t>m</w:t>
            </w:r>
            <w:r>
              <w:rPr>
                <w:rFonts w:cs="Times New Roman" w:eastAsiaTheme="minorEastAsia"/>
                <w:b w:val="0"/>
                <w:color w:val="000000" w:themeColor="text1"/>
                <w:szCs w:val="21"/>
                <w:vertAlign w:val="superscript"/>
              </w:rPr>
              <w:t>3</w:t>
            </w:r>
            <w:r>
              <w:rPr>
                <w:rFonts w:cs="Times New Roman" w:eastAsiaTheme="minorEastAsia"/>
                <w:b w:val="0"/>
                <w:color w:val="000000" w:themeColor="text1"/>
                <w:szCs w:val="21"/>
              </w:rPr>
              <w:t>，可满足废水处理要求。项目生产水对水质需求不高，生产废水可全部回用，既避免了废水的排放，又节约了水资源，增大了资源利用率，提高了清洁生产水平，产生了经济效益。建设单位应定期对</w:t>
            </w:r>
            <w:r>
              <w:rPr>
                <w:rFonts w:hint="eastAsia" w:cs="Times New Roman" w:eastAsiaTheme="minorEastAsia"/>
                <w:b w:val="0"/>
                <w:color w:val="000000" w:themeColor="text1"/>
                <w:szCs w:val="21"/>
              </w:rPr>
              <w:t>废水处理和回收系统</w:t>
            </w:r>
            <w:r>
              <w:rPr>
                <w:rFonts w:cs="Times New Roman" w:eastAsiaTheme="minorEastAsia"/>
                <w:b w:val="0"/>
                <w:color w:val="000000" w:themeColor="text1"/>
                <w:szCs w:val="21"/>
              </w:rPr>
              <w:t>进行清理及检修，防止生产废水无法循环使用，保证废水处理池均正常运作。当生产废水无法循环使用时，可通过临时停产的措施避免废水浆液事故性排放。</w:t>
            </w:r>
            <w:r>
              <w:rPr>
                <w:rFonts w:ascii="宋体" w:hAnsi="宋体" w:cs="宋体"/>
                <w:color w:val="3F3F3F" w:themeColor="text1" w:themeTint="BF"/>
                <w:spacing w:val="8"/>
              </w:rPr>
              <w:drawing>
                <wp:anchor distT="0" distB="0" distL="114300" distR="114300" simplePos="0" relativeHeight="251704320" behindDoc="0" locked="0" layoutInCell="1" allowOverlap="1">
                  <wp:simplePos x="0" y="0"/>
                  <wp:positionH relativeFrom="margin">
                    <wp:posOffset>184150</wp:posOffset>
                  </wp:positionH>
                  <wp:positionV relativeFrom="margin">
                    <wp:posOffset>1779270</wp:posOffset>
                  </wp:positionV>
                  <wp:extent cx="5057775" cy="3531235"/>
                  <wp:effectExtent l="0" t="0" r="9525" b="1206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057775" cy="3531235"/>
                          </a:xfrm>
                          <a:prstGeom prst="rect">
                            <a:avLst/>
                          </a:prstGeom>
                        </pic:spPr>
                      </pic:pic>
                    </a:graphicData>
                  </a:graphic>
                </wp:anchor>
              </w:drawing>
            </w:r>
          </w:p>
          <w:p>
            <w:pPr>
              <w:pStyle w:val="118"/>
              <w:keepNext/>
              <w:ind w:firstLine="480" w:firstLineChars="200"/>
              <w:jc w:val="center"/>
              <w:rPr>
                <w:rFonts w:eastAsiaTheme="minorEastAsia"/>
                <w:b/>
                <w:color w:val="000000" w:themeColor="text1"/>
              </w:rPr>
            </w:pPr>
            <w:r>
              <w:pict>
                <v:shape id="_x0000_s1026" o:spid="_x0000_s1026" o:spt="202" type="#_x0000_t202" style="position:absolute;left:0pt;margin-left:297.5pt;margin-top:68.1pt;height:26pt;width:53.1pt;z-index:251705344;mso-width-relative:page;mso-height-relative:page;" filled="f" stroked="f" coordsize="21600,21600">
                  <v:path/>
                  <v:fill on="f" focussize="0,0"/>
                  <v:stroke on="f" joinstyle="miter"/>
                  <v:imagedata o:title=""/>
                  <o:lock v:ext="edit"/>
                  <v:textbox>
                    <w:txbxContent>
                      <w:p>
                        <w:r>
                          <w:rPr>
                            <w:rFonts w:hint="eastAsia"/>
                          </w:rPr>
                          <w:t>洗车槽</w:t>
                        </w:r>
                      </w:p>
                    </w:txbxContent>
                  </v:textbox>
                </v:shape>
              </w:pict>
            </w:r>
            <w:r>
              <w:rPr>
                <w:rFonts w:eastAsiaTheme="minorEastAsia"/>
                <w:b/>
                <w:color w:val="000000" w:themeColor="text1"/>
              </w:rPr>
              <w:t>图</w:t>
            </w:r>
            <w:r>
              <w:rPr>
                <w:rFonts w:eastAsiaTheme="minorEastAsia"/>
                <w:b/>
                <w:color w:val="000000" w:themeColor="text1"/>
              </w:rPr>
              <w:fldChar w:fldCharType="begin"/>
            </w:r>
            <w:r>
              <w:rPr>
                <w:rFonts w:eastAsiaTheme="minorEastAsia"/>
                <w:b/>
                <w:color w:val="000000" w:themeColor="text1"/>
              </w:rPr>
              <w:instrText xml:space="preserve"> STYLEREF 2 \s </w:instrText>
            </w:r>
            <w:r>
              <w:rPr>
                <w:rFonts w:eastAsiaTheme="minorEastAsia"/>
                <w:b/>
                <w:color w:val="000000" w:themeColor="text1"/>
              </w:rPr>
              <w:fldChar w:fldCharType="separate"/>
            </w:r>
            <w:r>
              <w:rPr>
                <w:rFonts w:eastAsiaTheme="minorEastAsia"/>
                <w:b/>
                <w:color w:val="000000" w:themeColor="text1"/>
              </w:rPr>
              <w:t>7.2</w:t>
            </w:r>
            <w:r>
              <w:rPr>
                <w:rFonts w:eastAsiaTheme="minorEastAsia"/>
                <w:b/>
                <w:color w:val="000000" w:themeColor="text1"/>
              </w:rPr>
              <w:fldChar w:fldCharType="end"/>
            </w:r>
            <w:r>
              <w:rPr>
                <w:rFonts w:eastAsiaTheme="minorEastAsia"/>
                <w:b/>
                <w:color w:val="000000" w:themeColor="text1"/>
              </w:rPr>
              <w:noBreakHyphen/>
            </w:r>
            <w:r>
              <w:rPr>
                <w:rFonts w:eastAsiaTheme="minorEastAsia"/>
                <w:b/>
                <w:color w:val="000000" w:themeColor="text1"/>
              </w:rPr>
              <w:fldChar w:fldCharType="begin"/>
            </w:r>
            <w:r>
              <w:rPr>
                <w:rFonts w:eastAsiaTheme="minorEastAsia"/>
                <w:b/>
                <w:color w:val="000000" w:themeColor="text1"/>
              </w:rPr>
              <w:instrText xml:space="preserve"> SEQ 图 \* ARABIC \s 2 </w:instrText>
            </w:r>
            <w:r>
              <w:rPr>
                <w:rFonts w:eastAsiaTheme="minorEastAsia"/>
                <w:b/>
                <w:color w:val="000000" w:themeColor="text1"/>
              </w:rPr>
              <w:fldChar w:fldCharType="separate"/>
            </w:r>
            <w:r>
              <w:rPr>
                <w:rFonts w:eastAsiaTheme="minorEastAsia"/>
                <w:b/>
                <w:color w:val="000000" w:themeColor="text1"/>
              </w:rPr>
              <w:t>1</w:t>
            </w:r>
            <w:r>
              <w:rPr>
                <w:rFonts w:eastAsiaTheme="minorEastAsia"/>
                <w:b/>
                <w:color w:val="000000" w:themeColor="text1"/>
              </w:rPr>
              <w:fldChar w:fldCharType="end"/>
            </w:r>
            <w:r>
              <w:rPr>
                <w:rFonts w:eastAsiaTheme="minorEastAsia"/>
                <w:b/>
                <w:color w:val="000000" w:themeColor="text1"/>
              </w:rPr>
              <w:t xml:space="preserve">  项目废水处理循环</w:t>
            </w:r>
            <w:r>
              <w:rPr>
                <w:rFonts w:hint="eastAsia" w:eastAsiaTheme="minorEastAsia"/>
                <w:b/>
                <w:color w:val="000000" w:themeColor="text1"/>
              </w:rPr>
              <w:t xml:space="preserve">示意图 </w:t>
            </w:r>
          </w:p>
          <w:p>
            <w:pPr>
              <w:shd w:val="clear" w:color="auto" w:fill="FFFFFF"/>
              <w:snapToGrid w:val="0"/>
              <w:spacing w:line="360" w:lineRule="auto"/>
              <w:ind w:firstLine="480" w:firstLineChars="200"/>
              <w:rPr>
                <w:rFonts w:cs="Times New Roman"/>
                <w:color w:val="4F81BD" w:themeColor="accent1"/>
                <w:u w:val="single"/>
              </w:rPr>
            </w:pPr>
            <w:r>
              <w:rPr>
                <w:rFonts w:hint="eastAsia" w:cs="Times New Roman"/>
                <w:color w:val="4F81BD" w:themeColor="accent1"/>
                <w:u w:val="single"/>
              </w:rPr>
              <w:t>生产废水处理系统：本项目生产废水主要设置商混搅拌车自动清洗装置、砂石分离机、旋流器及细沙回收机、一级浆罐、二级浆罐、备用罐、污水泵、搅拌器、管路、阀门及工控P</w:t>
            </w:r>
            <w:r>
              <w:rPr>
                <w:rFonts w:cs="Times New Roman"/>
                <w:color w:val="4F81BD" w:themeColor="accent1"/>
                <w:u w:val="single"/>
              </w:rPr>
              <w:t>LC</w:t>
            </w:r>
            <w:r>
              <w:rPr>
                <w:rFonts w:hint="eastAsia" w:cs="Times New Roman"/>
                <w:color w:val="4F81BD" w:themeColor="accent1"/>
                <w:u w:val="single"/>
              </w:rPr>
              <w:t>执行软件等部分组成，实现了智能化、自动化，将刷洗搅拌车清洗水等生产废水引入系统中，将混凝土浆液分别经砂石分离机种细沙分离机过滤石子、粗砂和细沙，予回收利用，无砂的浆水回收至二级浆罐并输送至储浆罐，其间搅拌楼按试验室配合比添加使用。整个系统实现</w:t>
            </w:r>
            <w:r>
              <w:rPr>
                <w:rFonts w:hint="eastAsia" w:cs="Times New Roman"/>
                <w:color w:val="4F81BD" w:themeColor="accent1"/>
                <w:u w:val="single"/>
                <w:lang w:eastAsia="zh-CN"/>
              </w:rPr>
              <w:t>生产</w:t>
            </w:r>
            <w:r>
              <w:rPr>
                <w:rFonts w:hint="eastAsia" w:cs="Times New Roman"/>
                <w:color w:val="4F81BD" w:themeColor="accent1"/>
                <w:u w:val="single"/>
              </w:rPr>
              <w:t>废水零排放。</w:t>
            </w:r>
          </w:p>
          <w:p>
            <w:pPr>
              <w:adjustRightInd w:val="0"/>
              <w:snapToGrid w:val="0"/>
              <w:spacing w:line="360" w:lineRule="auto"/>
              <w:ind w:firstLine="480" w:firstLineChars="200"/>
              <w:rPr>
                <w:rFonts w:cs="Times New Roman"/>
              </w:rPr>
            </w:pPr>
            <w:r>
              <w:rPr>
                <w:rFonts w:cs="Times New Roman"/>
              </w:rPr>
              <w:object>
                <v:shape id="_x0000_i1030" o:spt="75" type="#_x0000_t75" style="height:205.5pt;width:369pt;" o:ole="t" filled="f" o:preferrelative="t" stroked="f" coordsize="21600,21600">
                  <v:path/>
                  <v:fill on="f" focussize="0,0"/>
                  <v:stroke on="f"/>
                  <v:imagedata r:id="rId24" o:title=""/>
                  <o:lock v:ext="edit" aspectratio="f"/>
                  <w10:wrap type="none"/>
                  <w10:anchorlock/>
                </v:shape>
                <o:OLEObject Type="Embed" ProgID="Visio.Drawing.11" ShapeID="_x0000_i1030" DrawAspect="Content" ObjectID="_1468075730" r:id="rId23">
                  <o:LockedField>false</o:LockedField>
                </o:OLEObject>
              </w:object>
            </w:r>
          </w:p>
          <w:p>
            <w:pPr>
              <w:pStyle w:val="15"/>
              <w:rPr>
                <w:rFonts w:hint="eastAsia" w:eastAsia="宋体"/>
                <w:lang w:val="en-US" w:eastAsia="zh-CN"/>
              </w:rPr>
            </w:pPr>
            <w:r>
              <w:t xml:space="preserve">图 </w:t>
            </w:r>
            <w:r>
              <w:fldChar w:fldCharType="begin"/>
            </w:r>
            <w:r>
              <w:instrText xml:space="preserve"> STYLEREF 2 \s </w:instrText>
            </w:r>
            <w:r>
              <w:fldChar w:fldCharType="separate"/>
            </w:r>
            <w:r>
              <w:t>7</w:t>
            </w:r>
            <w:r>
              <w:rPr>
                <w:rFonts w:hint="eastAsia"/>
                <w:lang w:val="en-US" w:eastAsia="zh-CN"/>
              </w:rPr>
              <w:t>.</w:t>
            </w:r>
            <w:r>
              <w:t>2</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val="en-US" w:eastAsia="zh-CN"/>
              </w:rPr>
              <w:t xml:space="preserve">  罐车清洗废水处理流程图</w:t>
            </w:r>
          </w:p>
          <w:p>
            <w:pPr>
              <w:adjustRightInd w:val="0"/>
              <w:snapToGrid w:val="0"/>
              <w:spacing w:line="360" w:lineRule="auto"/>
              <w:ind w:firstLine="480" w:firstLineChars="200"/>
              <w:rPr>
                <w:rFonts w:cs="Times New Roman"/>
              </w:rPr>
            </w:pPr>
            <w:r>
              <w:rPr>
                <w:rFonts w:cs="Times New Roman"/>
              </w:rPr>
              <w:t>（3）废水污染物排放信息表依托可行性分析</w:t>
            </w:r>
          </w:p>
          <w:p>
            <w:pPr>
              <w:autoSpaceDE w:val="0"/>
              <w:autoSpaceDN w:val="0"/>
              <w:adjustRightInd w:val="0"/>
              <w:snapToGrid w:val="0"/>
              <w:spacing w:line="360" w:lineRule="auto"/>
              <w:ind w:firstLine="480" w:firstLineChars="200"/>
              <w:rPr>
                <w:rFonts w:cs="Times New Roman"/>
              </w:rPr>
            </w:pPr>
            <w:r>
              <w:rPr>
                <w:rFonts w:cs="Times New Roman"/>
              </w:rPr>
              <w:t>湖南城陵矶临港产业新区污水处理厂岳阳市云溪区云溪区永济乡，东邻沿江大道，西靠长江大堤，处于云港路与沿江路的交界处，设计规模3万m</w:t>
            </w:r>
            <w:r>
              <w:rPr>
                <w:rFonts w:cs="Times New Roman"/>
                <w:vertAlign w:val="superscript"/>
              </w:rPr>
              <w:t>3/</w:t>
            </w:r>
            <w:r>
              <w:rPr>
                <w:rFonts w:cs="Times New Roman"/>
              </w:rPr>
              <w:t>d，污水处理主要工艺采用“平流式沉淀池+高效沉淀池+反硝化深床滤池工艺+紫外线消毒工艺（辅以次氯酸钠消毒）” 平流式沉淀池是最常用的形式，平面为矩形构造，沉淀效果好，对冲击负荷和温度变化的适应能力较强，土建施工比较简单，因其矩形形状，便于平面布置，对后续生物处理的影响较小。高效沉淀池+反硝化深床滤池工艺在国内外城镇污水处理中应用广泛，技术成熟、工艺稳定、处理效率高，出水水质稳定达标。由于沉淀池负荷高，因而占地面积较小。同时为了保证出水水质的稳定，本工程在紫外线消毒的基础上补充次氯酸钠消毒，出水水质达到《城镇污水处理厂污染物排放标准》（GB18918-2002）中一级A标准排放。</w:t>
            </w:r>
          </w:p>
          <w:p>
            <w:pPr>
              <w:autoSpaceDE w:val="0"/>
              <w:autoSpaceDN w:val="0"/>
              <w:adjustRightInd w:val="0"/>
              <w:snapToGrid w:val="0"/>
              <w:spacing w:line="360" w:lineRule="auto"/>
              <w:ind w:firstLine="480" w:firstLineChars="200"/>
              <w:rPr>
                <w:rFonts w:cs="Times New Roman"/>
              </w:rPr>
            </w:pPr>
            <w:r>
              <w:rPr>
                <w:rFonts w:cs="Times New Roman"/>
                <w:color w:val="000000" w:themeColor="text1"/>
              </w:rPr>
              <w:t>湖南城陵矶临港产业新区污水处理厂的日处理量为3万m</w:t>
            </w:r>
            <w:r>
              <w:rPr>
                <w:rFonts w:cs="Times New Roman"/>
                <w:color w:val="000000" w:themeColor="text1"/>
                <w:vertAlign w:val="superscript"/>
              </w:rPr>
              <w:t>3</w:t>
            </w:r>
            <w:r>
              <w:rPr>
                <w:rFonts w:cs="Times New Roman"/>
                <w:color w:val="000000" w:themeColor="text1"/>
              </w:rPr>
              <w:t>/d，</w:t>
            </w:r>
            <w:r>
              <w:rPr>
                <w:rFonts w:hint="eastAsia" w:hAnsi="宋体" w:eastAsia="宋体" w:cs="Times New Roman"/>
                <w:color w:val="000000" w:themeColor="text1"/>
              </w:rPr>
              <w:t>目前排污管网已接通到项目，排污管网具体情况见附图7（项目所在地与排污管网位置关系图），</w:t>
            </w:r>
            <w:r>
              <w:rPr>
                <w:rFonts w:cs="Times New Roman"/>
              </w:rPr>
              <w:t>本项目废水占其处理量比重较小，湖南城陵矶临港产业新区污水处理厂有足够的能力接纳本项目的废水，因此依托湖南城陵矶临港产业新区污水处理厂处理生活污水可行。综上所述，本项目对周围地表水环境影响较小。</w:t>
            </w:r>
          </w:p>
          <w:p>
            <w:pPr>
              <w:adjustRightInd w:val="0"/>
              <w:snapToGrid w:val="0"/>
              <w:spacing w:line="360" w:lineRule="auto"/>
              <w:ind w:firstLine="480" w:firstLineChars="200"/>
              <w:rPr>
                <w:rFonts w:cs="Times New Roman"/>
              </w:rPr>
            </w:pPr>
            <w:r>
              <w:rPr>
                <w:rFonts w:cs="Times New Roman"/>
              </w:rPr>
              <w:t>（4）本项目外排废水污染物信息情况一览表</w:t>
            </w:r>
          </w:p>
          <w:p>
            <w:pPr>
              <w:autoSpaceDE w:val="0"/>
              <w:autoSpaceDN w:val="0"/>
              <w:adjustRightInd w:val="0"/>
              <w:snapToGrid w:val="0"/>
              <w:spacing w:line="360" w:lineRule="auto"/>
              <w:ind w:firstLine="480" w:firstLineChars="200"/>
              <w:rPr>
                <w:rFonts w:cs="Times New Roman"/>
              </w:rPr>
            </w:pPr>
            <w:r>
              <w:rPr>
                <w:rFonts w:cs="Times New Roman"/>
              </w:rPr>
              <w:t>本项目外排废水污染物信息情况一览表见下表所示。</w:t>
            </w:r>
          </w:p>
          <w:p>
            <w:pPr>
              <w:jc w:val="center"/>
              <w:rPr>
                <w:rFonts w:cs="Times New Roman"/>
                <w:b/>
                <w:sz w:val="21"/>
              </w:rPr>
            </w:pPr>
          </w:p>
          <w:p>
            <w:pPr>
              <w:jc w:val="center"/>
              <w:rPr>
                <w:rFonts w:cs="Times New Roman"/>
                <w:b/>
                <w:sz w:val="21"/>
              </w:rPr>
            </w:pPr>
          </w:p>
          <w:p>
            <w:pPr>
              <w:jc w:val="center"/>
              <w:rPr>
                <w:rFonts w:cs="Times New Roman"/>
                <w:b/>
                <w:sz w:val="21"/>
              </w:rPr>
            </w:pPr>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7.2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2</w:t>
            </w:r>
            <w:r>
              <w:rPr>
                <w:rFonts w:cs="Times New Roman"/>
                <w:b/>
                <w:sz w:val="21"/>
              </w:rPr>
              <w:fldChar w:fldCharType="end"/>
            </w:r>
            <w:r>
              <w:rPr>
                <w:rFonts w:cs="Times New Roman"/>
                <w:b/>
                <w:sz w:val="21"/>
              </w:rPr>
              <w:t xml:space="preserve">  </w:t>
            </w:r>
            <w:r>
              <w:rPr>
                <w:rFonts w:cs="Times New Roman"/>
                <w:b/>
                <w:bCs/>
                <w:sz w:val="21"/>
              </w:rPr>
              <w:t>废水类别、污染物及污染治理设施信息表</w:t>
            </w:r>
          </w:p>
          <w:tbl>
            <w:tblPr>
              <w:tblStyle w:val="33"/>
              <w:tblW w:w="4989"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27"/>
              <w:gridCol w:w="938"/>
              <w:gridCol w:w="636"/>
              <w:gridCol w:w="802"/>
              <w:gridCol w:w="858"/>
              <w:gridCol w:w="686"/>
              <w:gridCol w:w="485"/>
              <w:gridCol w:w="881"/>
              <w:gridCol w:w="639"/>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31" w:type="pct"/>
                  <w:vMerge w:val="restart"/>
                  <w:vAlign w:val="center"/>
                </w:tcPr>
                <w:p>
                  <w:pPr>
                    <w:adjustRightInd w:val="0"/>
                    <w:snapToGrid w:val="0"/>
                    <w:jc w:val="center"/>
                    <w:rPr>
                      <w:rFonts w:cs="Times New Roman"/>
                      <w:sz w:val="21"/>
                    </w:rPr>
                  </w:pPr>
                  <w:r>
                    <w:rPr>
                      <w:rFonts w:cs="Times New Roman"/>
                      <w:sz w:val="21"/>
                    </w:rPr>
                    <w:t>序号</w:t>
                  </w:r>
                </w:p>
              </w:tc>
              <w:tc>
                <w:tcPr>
                  <w:tcW w:w="394" w:type="pct"/>
                  <w:vMerge w:val="restart"/>
                  <w:vAlign w:val="center"/>
                </w:tcPr>
                <w:p>
                  <w:pPr>
                    <w:adjustRightInd w:val="0"/>
                    <w:snapToGrid w:val="0"/>
                    <w:jc w:val="center"/>
                    <w:rPr>
                      <w:rFonts w:cs="Times New Roman"/>
                      <w:sz w:val="21"/>
                    </w:rPr>
                  </w:pPr>
                  <w:r>
                    <w:rPr>
                      <w:rFonts w:cs="Times New Roman"/>
                      <w:sz w:val="21"/>
                    </w:rPr>
                    <w:t>废水类别</w:t>
                  </w:r>
                </w:p>
              </w:tc>
              <w:tc>
                <w:tcPr>
                  <w:tcW w:w="509" w:type="pct"/>
                  <w:vMerge w:val="restart"/>
                  <w:vAlign w:val="center"/>
                </w:tcPr>
                <w:p>
                  <w:pPr>
                    <w:adjustRightInd w:val="0"/>
                    <w:snapToGrid w:val="0"/>
                    <w:jc w:val="center"/>
                    <w:rPr>
                      <w:rFonts w:cs="Times New Roman"/>
                      <w:sz w:val="21"/>
                    </w:rPr>
                  </w:pPr>
                  <w:r>
                    <w:rPr>
                      <w:rFonts w:cs="Times New Roman"/>
                      <w:sz w:val="21"/>
                    </w:rPr>
                    <w:t>污染物种类</w:t>
                  </w:r>
                </w:p>
              </w:tc>
              <w:tc>
                <w:tcPr>
                  <w:tcW w:w="438" w:type="pct"/>
                  <w:vMerge w:val="restart"/>
                  <w:vAlign w:val="center"/>
                </w:tcPr>
                <w:p>
                  <w:pPr>
                    <w:adjustRightInd w:val="0"/>
                    <w:snapToGrid w:val="0"/>
                    <w:jc w:val="center"/>
                    <w:rPr>
                      <w:rFonts w:cs="Times New Roman"/>
                      <w:sz w:val="21"/>
                    </w:rPr>
                  </w:pPr>
                  <w:r>
                    <w:rPr>
                      <w:rFonts w:cs="Times New Roman"/>
                      <w:sz w:val="21"/>
                    </w:rPr>
                    <w:t>排水去向</w:t>
                  </w:r>
                </w:p>
              </w:tc>
              <w:tc>
                <w:tcPr>
                  <w:tcW w:w="582" w:type="pct"/>
                  <w:vMerge w:val="restart"/>
                  <w:vAlign w:val="center"/>
                </w:tcPr>
                <w:p>
                  <w:pPr>
                    <w:adjustRightInd w:val="0"/>
                    <w:snapToGrid w:val="0"/>
                    <w:jc w:val="center"/>
                    <w:rPr>
                      <w:rFonts w:cs="Times New Roman"/>
                      <w:sz w:val="21"/>
                    </w:rPr>
                  </w:pPr>
                  <w:r>
                    <w:rPr>
                      <w:rFonts w:cs="Times New Roman"/>
                      <w:sz w:val="21"/>
                    </w:rPr>
                    <w:t>排放规律性</w:t>
                  </w:r>
                </w:p>
              </w:tc>
              <w:tc>
                <w:tcPr>
                  <w:tcW w:w="978" w:type="pct"/>
                  <w:gridSpan w:val="3"/>
                  <w:vAlign w:val="center"/>
                </w:tcPr>
                <w:p>
                  <w:pPr>
                    <w:pStyle w:val="151"/>
                    <w:adjustRightInd w:val="0"/>
                    <w:snapToGrid w:val="0"/>
                    <w:jc w:val="center"/>
                    <w:rPr>
                      <w:rFonts w:eastAsiaTheme="minorEastAsia"/>
                    </w:rPr>
                  </w:pPr>
                  <w:r>
                    <w:rPr>
                      <w:rFonts w:eastAsiaTheme="minorEastAsia"/>
                    </w:rPr>
                    <w:t>污染治理设施</w:t>
                  </w:r>
                </w:p>
              </w:tc>
              <w:tc>
                <w:tcPr>
                  <w:tcW w:w="477" w:type="pct"/>
                  <w:vMerge w:val="restart"/>
                  <w:vAlign w:val="center"/>
                </w:tcPr>
                <w:p>
                  <w:pPr>
                    <w:adjustRightInd w:val="0"/>
                    <w:snapToGrid w:val="0"/>
                    <w:jc w:val="center"/>
                    <w:rPr>
                      <w:rFonts w:cs="Times New Roman"/>
                      <w:sz w:val="21"/>
                    </w:rPr>
                  </w:pPr>
                  <w:r>
                    <w:rPr>
                      <w:rFonts w:cs="Times New Roman"/>
                      <w:sz w:val="21"/>
                    </w:rPr>
                    <w:t>排放</w:t>
                  </w:r>
                </w:p>
                <w:p>
                  <w:pPr>
                    <w:adjustRightInd w:val="0"/>
                    <w:snapToGrid w:val="0"/>
                    <w:jc w:val="center"/>
                    <w:rPr>
                      <w:rFonts w:cs="Times New Roman"/>
                      <w:sz w:val="21"/>
                    </w:rPr>
                  </w:pPr>
                  <w:r>
                    <w:rPr>
                      <w:rFonts w:cs="Times New Roman"/>
                      <w:sz w:val="21"/>
                    </w:rPr>
                    <w:t>口编</w:t>
                  </w:r>
                </w:p>
                <w:p>
                  <w:pPr>
                    <w:pStyle w:val="151"/>
                    <w:adjustRightInd w:val="0"/>
                    <w:snapToGrid w:val="0"/>
                    <w:jc w:val="center"/>
                    <w:rPr>
                      <w:rFonts w:eastAsiaTheme="minorEastAsia"/>
                    </w:rPr>
                  </w:pPr>
                  <w:r>
                    <w:rPr>
                      <w:rFonts w:eastAsiaTheme="minorEastAsia"/>
                    </w:rPr>
                    <w:t>号</w:t>
                  </w:r>
                </w:p>
              </w:tc>
              <w:tc>
                <w:tcPr>
                  <w:tcW w:w="417" w:type="pct"/>
                  <w:vMerge w:val="restart"/>
                  <w:vAlign w:val="center"/>
                </w:tcPr>
                <w:p>
                  <w:pPr>
                    <w:adjustRightInd w:val="0"/>
                    <w:snapToGrid w:val="0"/>
                    <w:jc w:val="center"/>
                    <w:rPr>
                      <w:rFonts w:cs="Times New Roman"/>
                      <w:sz w:val="21"/>
                    </w:rPr>
                  </w:pPr>
                  <w:r>
                    <w:rPr>
                      <w:rFonts w:cs="Times New Roman"/>
                      <w:sz w:val="21"/>
                    </w:rPr>
                    <w:t>排放口设置是否符合要求</w:t>
                  </w:r>
                </w:p>
              </w:tc>
              <w:tc>
                <w:tcPr>
                  <w:tcW w:w="968" w:type="pct"/>
                  <w:vMerge w:val="restart"/>
                  <w:vAlign w:val="center"/>
                </w:tcPr>
                <w:p>
                  <w:pPr>
                    <w:adjustRightInd w:val="0"/>
                    <w:snapToGrid w:val="0"/>
                    <w:jc w:val="center"/>
                    <w:rPr>
                      <w:rFonts w:cs="Times New Roman"/>
                      <w:sz w:val="21"/>
                    </w:rPr>
                  </w:pPr>
                  <w:r>
                    <w:rPr>
                      <w:rFonts w:cs="Times New Roman"/>
                      <w:sz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231" w:type="pct"/>
                  <w:vMerge w:val="continue"/>
                  <w:vAlign w:val="center"/>
                </w:tcPr>
                <w:p>
                  <w:pPr>
                    <w:widowControl/>
                    <w:adjustRightInd w:val="0"/>
                    <w:snapToGrid w:val="0"/>
                    <w:jc w:val="left"/>
                    <w:rPr>
                      <w:rFonts w:cs="Times New Roman"/>
                      <w:sz w:val="21"/>
                    </w:rPr>
                  </w:pPr>
                </w:p>
              </w:tc>
              <w:tc>
                <w:tcPr>
                  <w:tcW w:w="394" w:type="pct"/>
                  <w:vMerge w:val="continue"/>
                  <w:vAlign w:val="center"/>
                </w:tcPr>
                <w:p>
                  <w:pPr>
                    <w:widowControl/>
                    <w:adjustRightInd w:val="0"/>
                    <w:snapToGrid w:val="0"/>
                    <w:jc w:val="left"/>
                    <w:rPr>
                      <w:rFonts w:cs="Times New Roman"/>
                      <w:sz w:val="21"/>
                    </w:rPr>
                  </w:pPr>
                </w:p>
              </w:tc>
              <w:tc>
                <w:tcPr>
                  <w:tcW w:w="509" w:type="pct"/>
                  <w:vMerge w:val="continue"/>
                  <w:vAlign w:val="center"/>
                </w:tcPr>
                <w:p>
                  <w:pPr>
                    <w:widowControl/>
                    <w:adjustRightInd w:val="0"/>
                    <w:snapToGrid w:val="0"/>
                    <w:jc w:val="left"/>
                    <w:rPr>
                      <w:rFonts w:cs="Times New Roman"/>
                      <w:sz w:val="21"/>
                    </w:rPr>
                  </w:pPr>
                </w:p>
              </w:tc>
              <w:tc>
                <w:tcPr>
                  <w:tcW w:w="438" w:type="pct"/>
                  <w:vMerge w:val="continue"/>
                  <w:vAlign w:val="center"/>
                </w:tcPr>
                <w:p>
                  <w:pPr>
                    <w:widowControl/>
                    <w:adjustRightInd w:val="0"/>
                    <w:snapToGrid w:val="0"/>
                    <w:jc w:val="left"/>
                    <w:rPr>
                      <w:rFonts w:cs="Times New Roman"/>
                      <w:sz w:val="21"/>
                    </w:rPr>
                  </w:pPr>
                </w:p>
              </w:tc>
              <w:tc>
                <w:tcPr>
                  <w:tcW w:w="582" w:type="pct"/>
                  <w:vMerge w:val="continue"/>
                  <w:vAlign w:val="center"/>
                </w:tcPr>
                <w:p>
                  <w:pPr>
                    <w:widowControl/>
                    <w:adjustRightInd w:val="0"/>
                    <w:snapToGrid w:val="0"/>
                    <w:jc w:val="left"/>
                    <w:rPr>
                      <w:rFonts w:cs="Times New Roman"/>
                      <w:sz w:val="21"/>
                    </w:rPr>
                  </w:pPr>
                </w:p>
              </w:tc>
              <w:tc>
                <w:tcPr>
                  <w:tcW w:w="238" w:type="pct"/>
                  <w:vAlign w:val="center"/>
                </w:tcPr>
                <w:p>
                  <w:pPr>
                    <w:pStyle w:val="151"/>
                    <w:adjustRightInd w:val="0"/>
                    <w:snapToGrid w:val="0"/>
                    <w:jc w:val="center"/>
                    <w:rPr>
                      <w:rFonts w:eastAsiaTheme="minorEastAsia"/>
                    </w:rPr>
                  </w:pPr>
                  <w:r>
                    <w:rPr>
                      <w:rFonts w:eastAsiaTheme="minorEastAsia"/>
                    </w:rPr>
                    <w:t>污染治理设施编号</w:t>
                  </w:r>
                </w:p>
              </w:tc>
              <w:tc>
                <w:tcPr>
                  <w:tcW w:w="371" w:type="pct"/>
                  <w:vAlign w:val="center"/>
                </w:tcPr>
                <w:p>
                  <w:pPr>
                    <w:pStyle w:val="151"/>
                    <w:adjustRightInd w:val="0"/>
                    <w:snapToGrid w:val="0"/>
                    <w:jc w:val="center"/>
                    <w:rPr>
                      <w:rFonts w:eastAsiaTheme="minorEastAsia"/>
                    </w:rPr>
                  </w:pPr>
                  <w:r>
                    <w:rPr>
                      <w:rFonts w:eastAsiaTheme="minorEastAsia"/>
                    </w:rPr>
                    <w:t>污染治理设施名称</w:t>
                  </w:r>
                </w:p>
              </w:tc>
              <w:tc>
                <w:tcPr>
                  <w:tcW w:w="368" w:type="pct"/>
                  <w:vAlign w:val="center"/>
                </w:tcPr>
                <w:p>
                  <w:pPr>
                    <w:pStyle w:val="151"/>
                    <w:adjustRightInd w:val="0"/>
                    <w:snapToGrid w:val="0"/>
                    <w:jc w:val="center"/>
                    <w:rPr>
                      <w:rFonts w:eastAsiaTheme="minorEastAsia"/>
                    </w:rPr>
                  </w:pPr>
                  <w:r>
                    <w:rPr>
                      <w:rFonts w:eastAsiaTheme="minorEastAsia"/>
                    </w:rPr>
                    <w:t>污染治理设施工艺</w:t>
                  </w:r>
                </w:p>
              </w:tc>
              <w:tc>
                <w:tcPr>
                  <w:tcW w:w="477" w:type="pct"/>
                  <w:vMerge w:val="continue"/>
                  <w:vAlign w:val="center"/>
                </w:tcPr>
                <w:p>
                  <w:pPr>
                    <w:widowControl/>
                    <w:adjustRightInd w:val="0"/>
                    <w:snapToGrid w:val="0"/>
                    <w:jc w:val="left"/>
                    <w:rPr>
                      <w:rFonts w:cs="Times New Roman"/>
                      <w:sz w:val="21"/>
                    </w:rPr>
                  </w:pPr>
                </w:p>
              </w:tc>
              <w:tc>
                <w:tcPr>
                  <w:tcW w:w="417" w:type="pct"/>
                  <w:vMerge w:val="continue"/>
                  <w:vAlign w:val="center"/>
                </w:tcPr>
                <w:p>
                  <w:pPr>
                    <w:widowControl/>
                    <w:adjustRightInd w:val="0"/>
                    <w:snapToGrid w:val="0"/>
                    <w:jc w:val="left"/>
                    <w:rPr>
                      <w:rFonts w:cs="Times New Roman"/>
                      <w:sz w:val="21"/>
                    </w:rPr>
                  </w:pPr>
                </w:p>
              </w:tc>
              <w:tc>
                <w:tcPr>
                  <w:tcW w:w="968" w:type="pct"/>
                  <w:vMerge w:val="continue"/>
                  <w:vAlign w:val="center"/>
                </w:tcPr>
                <w:p>
                  <w:pPr>
                    <w:widowControl/>
                    <w:adjustRightInd w:val="0"/>
                    <w:snapToGrid w:val="0"/>
                    <w:jc w:val="left"/>
                    <w:rPr>
                      <w:rFonts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9" w:hRule="atLeast"/>
              </w:trPr>
              <w:tc>
                <w:tcPr>
                  <w:tcW w:w="231" w:type="pct"/>
                  <w:vAlign w:val="center"/>
                </w:tcPr>
                <w:p>
                  <w:pPr>
                    <w:adjustRightInd w:val="0"/>
                    <w:snapToGrid w:val="0"/>
                    <w:jc w:val="center"/>
                    <w:rPr>
                      <w:rFonts w:cs="Times New Roman"/>
                      <w:sz w:val="21"/>
                    </w:rPr>
                  </w:pPr>
                  <w:r>
                    <w:rPr>
                      <w:rFonts w:cs="Times New Roman"/>
                      <w:sz w:val="21"/>
                    </w:rPr>
                    <w:t>1</w:t>
                  </w:r>
                </w:p>
              </w:tc>
              <w:tc>
                <w:tcPr>
                  <w:tcW w:w="394" w:type="pct"/>
                  <w:vAlign w:val="center"/>
                </w:tcPr>
                <w:p>
                  <w:pPr>
                    <w:adjustRightInd w:val="0"/>
                    <w:snapToGrid w:val="0"/>
                    <w:jc w:val="center"/>
                    <w:rPr>
                      <w:rFonts w:cs="Times New Roman"/>
                      <w:sz w:val="21"/>
                    </w:rPr>
                  </w:pPr>
                  <w:r>
                    <w:rPr>
                      <w:rFonts w:cs="Times New Roman"/>
                      <w:sz w:val="21"/>
                    </w:rPr>
                    <w:t>搅拌机和车辆清洗废水及</w:t>
                  </w:r>
                  <w:r>
                    <w:rPr>
                      <w:rFonts w:cs="Times New Roman"/>
                      <w:color w:val="000000" w:themeColor="text1"/>
                      <w:sz w:val="21"/>
                    </w:rPr>
                    <w:t>道路冲洗废水</w:t>
                  </w:r>
                </w:p>
              </w:tc>
              <w:tc>
                <w:tcPr>
                  <w:tcW w:w="509" w:type="pct"/>
                  <w:vAlign w:val="center"/>
                </w:tcPr>
                <w:p>
                  <w:pPr>
                    <w:adjustRightInd w:val="0"/>
                    <w:snapToGrid w:val="0"/>
                    <w:jc w:val="center"/>
                    <w:rPr>
                      <w:rFonts w:cs="Times New Roman"/>
                      <w:sz w:val="21"/>
                    </w:rPr>
                  </w:pPr>
                  <w:r>
                    <w:rPr>
                      <w:rFonts w:cs="Times New Roman"/>
                      <w:sz w:val="21"/>
                    </w:rPr>
                    <w:t>pH、SS</w:t>
                  </w:r>
                </w:p>
              </w:tc>
              <w:tc>
                <w:tcPr>
                  <w:tcW w:w="438" w:type="pct"/>
                  <w:vAlign w:val="center"/>
                </w:tcPr>
                <w:p>
                  <w:pPr>
                    <w:adjustRightInd w:val="0"/>
                    <w:snapToGrid w:val="0"/>
                    <w:jc w:val="center"/>
                    <w:rPr>
                      <w:rFonts w:cs="Times New Roman"/>
                      <w:sz w:val="21"/>
                    </w:rPr>
                  </w:pPr>
                  <w:r>
                    <w:rPr>
                      <w:rFonts w:cs="Times New Roman"/>
                      <w:sz w:val="21"/>
                    </w:rPr>
                    <w:t>不外排</w:t>
                  </w:r>
                </w:p>
              </w:tc>
              <w:tc>
                <w:tcPr>
                  <w:tcW w:w="582" w:type="pct"/>
                  <w:vAlign w:val="center"/>
                </w:tcPr>
                <w:p>
                  <w:pPr>
                    <w:adjustRightInd w:val="0"/>
                    <w:snapToGrid w:val="0"/>
                    <w:jc w:val="center"/>
                    <w:rPr>
                      <w:rFonts w:cs="Times New Roman"/>
                      <w:sz w:val="21"/>
                    </w:rPr>
                  </w:pPr>
                  <w:r>
                    <w:rPr>
                      <w:rFonts w:cs="Times New Roman"/>
                      <w:sz w:val="21"/>
                    </w:rPr>
                    <w:t>/</w:t>
                  </w:r>
                </w:p>
              </w:tc>
              <w:tc>
                <w:tcPr>
                  <w:tcW w:w="238" w:type="pct"/>
                  <w:vAlign w:val="center"/>
                </w:tcPr>
                <w:p>
                  <w:pPr>
                    <w:pStyle w:val="151"/>
                    <w:adjustRightInd w:val="0"/>
                    <w:snapToGrid w:val="0"/>
                    <w:jc w:val="center"/>
                    <w:rPr>
                      <w:rFonts w:eastAsiaTheme="minorEastAsia"/>
                    </w:rPr>
                  </w:pPr>
                  <w:r>
                    <w:rPr>
                      <w:rFonts w:eastAsiaTheme="minorEastAsia"/>
                    </w:rPr>
                    <w:t>TW001</w:t>
                  </w:r>
                </w:p>
              </w:tc>
              <w:tc>
                <w:tcPr>
                  <w:tcW w:w="371" w:type="pct"/>
                  <w:vAlign w:val="center"/>
                </w:tcPr>
                <w:p>
                  <w:pPr>
                    <w:pStyle w:val="151"/>
                    <w:adjustRightInd w:val="0"/>
                    <w:snapToGrid w:val="0"/>
                    <w:jc w:val="center"/>
                    <w:rPr>
                      <w:rFonts w:eastAsiaTheme="minorEastAsia"/>
                    </w:rPr>
                  </w:pPr>
                  <w:r>
                    <w:rPr>
                      <w:rFonts w:eastAsiaTheme="minorEastAsia"/>
                    </w:rPr>
                    <w:t>循环系统</w:t>
                  </w:r>
                </w:p>
              </w:tc>
              <w:tc>
                <w:tcPr>
                  <w:tcW w:w="368" w:type="pct"/>
                  <w:vAlign w:val="center"/>
                </w:tcPr>
                <w:p>
                  <w:pPr>
                    <w:pStyle w:val="151"/>
                    <w:adjustRightInd w:val="0"/>
                    <w:snapToGrid w:val="0"/>
                    <w:jc w:val="center"/>
                    <w:rPr>
                      <w:rFonts w:eastAsiaTheme="minorEastAsia"/>
                    </w:rPr>
                  </w:pPr>
                  <w:r>
                    <w:rPr>
                      <w:rFonts w:eastAsiaTheme="minorEastAsia"/>
                    </w:rPr>
                    <w:t>沉淀池</w:t>
                  </w:r>
                </w:p>
              </w:tc>
              <w:tc>
                <w:tcPr>
                  <w:tcW w:w="477" w:type="pct"/>
                  <w:vAlign w:val="center"/>
                </w:tcPr>
                <w:p>
                  <w:pPr>
                    <w:pStyle w:val="151"/>
                    <w:adjustRightInd w:val="0"/>
                    <w:snapToGrid w:val="0"/>
                    <w:jc w:val="center"/>
                    <w:rPr>
                      <w:rFonts w:eastAsiaTheme="minorEastAsia"/>
                    </w:rPr>
                  </w:pPr>
                  <w:r>
                    <w:rPr>
                      <w:rFonts w:eastAsiaTheme="minorEastAsia"/>
                    </w:rPr>
                    <w:t>/</w:t>
                  </w:r>
                </w:p>
              </w:tc>
              <w:tc>
                <w:tcPr>
                  <w:tcW w:w="417" w:type="pct"/>
                  <w:vAlign w:val="center"/>
                </w:tcPr>
                <w:p>
                  <w:pPr>
                    <w:adjustRightInd w:val="0"/>
                    <w:snapToGrid w:val="0"/>
                    <w:jc w:val="center"/>
                    <w:rPr>
                      <w:rFonts w:cs="Times New Roman"/>
                      <w:sz w:val="21"/>
                    </w:rPr>
                  </w:pPr>
                  <w:r>
                    <w:rPr>
                      <w:rFonts w:cs="Times New Roman"/>
                      <w:sz w:val="21"/>
                    </w:rPr>
                    <w:sym w:font="Wingdings 2" w:char="00A3"/>
                  </w:r>
                  <w:r>
                    <w:rPr>
                      <w:rFonts w:cs="Times New Roman"/>
                      <w:sz w:val="21"/>
                    </w:rPr>
                    <w:t>是</w:t>
                  </w:r>
                </w:p>
                <w:p>
                  <w:pPr>
                    <w:adjustRightInd w:val="0"/>
                    <w:snapToGrid w:val="0"/>
                    <w:jc w:val="center"/>
                    <w:rPr>
                      <w:rFonts w:cs="Times New Roman"/>
                      <w:sz w:val="21"/>
                    </w:rPr>
                  </w:pPr>
                  <w:r>
                    <w:rPr>
                      <w:rFonts w:cs="Times New Roman"/>
                      <w:sz w:val="21"/>
                    </w:rPr>
                    <w:sym w:font="Wingdings 2" w:char="00A3"/>
                  </w:r>
                  <w:r>
                    <w:rPr>
                      <w:rFonts w:cs="Times New Roman"/>
                      <w:sz w:val="21"/>
                    </w:rPr>
                    <w:t>否</w:t>
                  </w:r>
                </w:p>
              </w:tc>
              <w:tc>
                <w:tcPr>
                  <w:tcW w:w="968" w:type="pct"/>
                  <w:vAlign w:val="center"/>
                </w:tcPr>
                <w:p>
                  <w:pPr>
                    <w:adjustRightInd w:val="0"/>
                    <w:snapToGrid w:val="0"/>
                    <w:rPr>
                      <w:rFonts w:cs="Times New Roman"/>
                      <w:sz w:val="21"/>
                    </w:rPr>
                  </w:pPr>
                  <w:r>
                    <w:rPr>
                      <w:rFonts w:cs="Times New Roman"/>
                      <w:sz w:val="21"/>
                    </w:rPr>
                    <w:sym w:font="Wingdings 2" w:char="00A3"/>
                  </w:r>
                  <w:r>
                    <w:rPr>
                      <w:rFonts w:cs="Times New Roman"/>
                      <w:sz w:val="21"/>
                    </w:rPr>
                    <w:t>企业总排</w:t>
                  </w:r>
                </w:p>
                <w:p>
                  <w:pPr>
                    <w:adjustRightInd w:val="0"/>
                    <w:snapToGrid w:val="0"/>
                    <w:rPr>
                      <w:rFonts w:cs="Times New Roman"/>
                      <w:sz w:val="21"/>
                    </w:rPr>
                  </w:pPr>
                  <w:r>
                    <w:rPr>
                      <w:rFonts w:cs="Times New Roman"/>
                      <w:sz w:val="21"/>
                    </w:rPr>
                    <w:sym w:font="Wingdings 2" w:char="00A3"/>
                  </w:r>
                  <w:r>
                    <w:rPr>
                      <w:rFonts w:cs="Times New Roman"/>
                      <w:sz w:val="21"/>
                    </w:rPr>
                    <w:t>雨水排放</w:t>
                  </w:r>
                </w:p>
                <w:p>
                  <w:pPr>
                    <w:adjustRightInd w:val="0"/>
                    <w:snapToGrid w:val="0"/>
                    <w:rPr>
                      <w:rFonts w:cs="Times New Roman"/>
                      <w:sz w:val="21"/>
                    </w:rPr>
                  </w:pPr>
                  <w:r>
                    <w:rPr>
                      <w:rFonts w:cs="Times New Roman"/>
                      <w:sz w:val="21"/>
                    </w:rPr>
                    <w:sym w:font="Wingdings 2" w:char="00A3"/>
                  </w:r>
                  <w:r>
                    <w:rPr>
                      <w:rFonts w:cs="Times New Roman"/>
                      <w:sz w:val="21"/>
                    </w:rPr>
                    <w:t>清净下水排放</w:t>
                  </w:r>
                </w:p>
                <w:p>
                  <w:pPr>
                    <w:adjustRightInd w:val="0"/>
                    <w:snapToGrid w:val="0"/>
                    <w:rPr>
                      <w:rFonts w:cs="Times New Roman"/>
                      <w:sz w:val="21"/>
                    </w:rPr>
                  </w:pPr>
                  <w:r>
                    <w:rPr>
                      <w:rFonts w:cs="Times New Roman"/>
                      <w:sz w:val="21"/>
                    </w:rPr>
                    <w:sym w:font="Wingdings 2" w:char="00A3"/>
                  </w:r>
                  <w:r>
                    <w:rPr>
                      <w:rFonts w:cs="Times New Roman"/>
                      <w:sz w:val="21"/>
                    </w:rPr>
                    <w:t>温排水排放</w:t>
                  </w:r>
                </w:p>
                <w:p>
                  <w:pPr>
                    <w:adjustRightInd w:val="0"/>
                    <w:snapToGrid w:val="0"/>
                    <w:rPr>
                      <w:rFonts w:cs="Times New Roman"/>
                      <w:sz w:val="21"/>
                    </w:rPr>
                  </w:pPr>
                  <w:r>
                    <w:rPr>
                      <w:rFonts w:cs="Times New Roman"/>
                      <w:sz w:val="21"/>
                    </w:rPr>
                    <w:sym w:font="Wingdings 2" w:char="00A3"/>
                  </w:r>
                  <w:r>
                    <w:rPr>
                      <w:rFonts w:cs="Times New Roman"/>
                      <w:sz w:val="21"/>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31" w:type="pct"/>
                  <w:vAlign w:val="center"/>
                </w:tcPr>
                <w:p>
                  <w:pPr>
                    <w:adjustRightInd w:val="0"/>
                    <w:snapToGrid w:val="0"/>
                    <w:jc w:val="center"/>
                    <w:rPr>
                      <w:rFonts w:cs="Times New Roman"/>
                      <w:sz w:val="21"/>
                    </w:rPr>
                  </w:pPr>
                  <w:r>
                    <w:rPr>
                      <w:rFonts w:cs="Times New Roman"/>
                      <w:sz w:val="21"/>
                    </w:rPr>
                    <w:t>5</w:t>
                  </w:r>
                </w:p>
              </w:tc>
              <w:tc>
                <w:tcPr>
                  <w:tcW w:w="394" w:type="pct"/>
                  <w:vAlign w:val="center"/>
                </w:tcPr>
                <w:p>
                  <w:pPr>
                    <w:adjustRightInd w:val="0"/>
                    <w:snapToGrid w:val="0"/>
                    <w:jc w:val="center"/>
                    <w:rPr>
                      <w:rFonts w:cs="Times New Roman"/>
                      <w:sz w:val="21"/>
                    </w:rPr>
                  </w:pPr>
                  <w:r>
                    <w:rPr>
                      <w:rFonts w:cs="Times New Roman"/>
                      <w:sz w:val="21"/>
                    </w:rPr>
                    <w:t>生活废水</w:t>
                  </w:r>
                </w:p>
              </w:tc>
              <w:tc>
                <w:tcPr>
                  <w:tcW w:w="509" w:type="pct"/>
                  <w:vAlign w:val="center"/>
                </w:tcPr>
                <w:p>
                  <w:pPr>
                    <w:adjustRightInd w:val="0"/>
                    <w:snapToGrid w:val="0"/>
                    <w:rPr>
                      <w:rFonts w:cs="Times New Roman"/>
                      <w:sz w:val="21"/>
                    </w:rPr>
                  </w:pPr>
                  <w:r>
                    <w:rPr>
                      <w:rFonts w:cs="Times New Roman"/>
                      <w:sz w:val="21"/>
                    </w:rPr>
                    <w:t>COD、  BOD</w:t>
                  </w:r>
                  <w:r>
                    <w:rPr>
                      <w:rFonts w:cs="Times New Roman"/>
                      <w:sz w:val="21"/>
                      <w:vertAlign w:val="subscript"/>
                    </w:rPr>
                    <w:t>5</w:t>
                  </w:r>
                  <w:r>
                    <w:rPr>
                      <w:rFonts w:cs="Times New Roman"/>
                      <w:sz w:val="21"/>
                    </w:rPr>
                    <w:t>、氨氮、SS</w:t>
                  </w:r>
                </w:p>
              </w:tc>
              <w:tc>
                <w:tcPr>
                  <w:tcW w:w="438" w:type="pct"/>
                  <w:vAlign w:val="center"/>
                </w:tcPr>
                <w:p>
                  <w:pPr>
                    <w:adjustRightInd w:val="0"/>
                    <w:snapToGrid w:val="0"/>
                    <w:jc w:val="center"/>
                    <w:rPr>
                      <w:rFonts w:cs="Times New Roman"/>
                      <w:sz w:val="21"/>
                    </w:rPr>
                  </w:pPr>
                  <w:r>
                    <w:rPr>
                      <w:rFonts w:cs="Times New Roman"/>
                      <w:sz w:val="21"/>
                    </w:rPr>
                    <w:t>经化粪池处理后排入湖南城陵矶临港产业新区污水处理厂处理</w:t>
                  </w:r>
                </w:p>
              </w:tc>
              <w:tc>
                <w:tcPr>
                  <w:tcW w:w="582" w:type="pct"/>
                  <w:vAlign w:val="center"/>
                </w:tcPr>
                <w:p>
                  <w:pPr>
                    <w:adjustRightInd w:val="0"/>
                    <w:snapToGrid w:val="0"/>
                    <w:jc w:val="center"/>
                    <w:rPr>
                      <w:rFonts w:cs="Times New Roman"/>
                      <w:sz w:val="21"/>
                    </w:rPr>
                  </w:pPr>
                  <w:r>
                    <w:rPr>
                      <w:rFonts w:cs="Times New Roman"/>
                      <w:sz w:val="21"/>
                    </w:rPr>
                    <w:t>间接排放，排放期间流量不稳定，但有周期性规律</w:t>
                  </w:r>
                </w:p>
              </w:tc>
              <w:tc>
                <w:tcPr>
                  <w:tcW w:w="238" w:type="pct"/>
                  <w:vAlign w:val="center"/>
                </w:tcPr>
                <w:p>
                  <w:pPr>
                    <w:pStyle w:val="151"/>
                    <w:adjustRightInd w:val="0"/>
                    <w:snapToGrid w:val="0"/>
                    <w:jc w:val="center"/>
                    <w:rPr>
                      <w:rFonts w:eastAsiaTheme="minorEastAsia"/>
                    </w:rPr>
                  </w:pPr>
                  <w:r>
                    <w:rPr>
                      <w:rFonts w:eastAsiaTheme="minorEastAsia"/>
                    </w:rPr>
                    <w:t>TW002</w:t>
                  </w:r>
                </w:p>
              </w:tc>
              <w:tc>
                <w:tcPr>
                  <w:tcW w:w="371" w:type="pct"/>
                  <w:vAlign w:val="center"/>
                </w:tcPr>
                <w:p>
                  <w:pPr>
                    <w:pStyle w:val="139"/>
                    <w:adjustRightInd w:val="0"/>
                    <w:snapToGrid w:val="0"/>
                    <w:ind w:left="148" w:right="112"/>
                    <w:rPr>
                      <w:rFonts w:ascii="Times New Roman" w:hAnsi="Times New Roman" w:cs="Times New Roman" w:eastAsiaTheme="minorEastAsia"/>
                      <w:sz w:val="21"/>
                      <w:szCs w:val="21"/>
                    </w:rPr>
                  </w:pPr>
                  <w:r>
                    <w:rPr>
                      <w:rFonts w:ascii="Times New Roman" w:hAnsi="Times New Roman" w:cs="Times New Roman" w:eastAsiaTheme="minorEastAsia"/>
                      <w:sz w:val="21"/>
                      <w:szCs w:val="21"/>
                    </w:rPr>
                    <w:t>化粪池</w:t>
                  </w:r>
                </w:p>
              </w:tc>
              <w:tc>
                <w:tcPr>
                  <w:tcW w:w="368" w:type="pct"/>
                  <w:vAlign w:val="center"/>
                </w:tcPr>
                <w:p>
                  <w:pPr>
                    <w:pStyle w:val="139"/>
                    <w:adjustRightInd w:val="0"/>
                    <w:snapToGrid w:val="0"/>
                    <w:rPr>
                      <w:rFonts w:hint="eastAsia" w:ascii="Times New Roman" w:hAnsi="Times New Roman" w:cs="Times New Roman" w:eastAsiaTheme="minorEastAsia"/>
                      <w:sz w:val="21"/>
                      <w:szCs w:val="21"/>
                      <w:lang w:val="en-US" w:eastAsia="zh-CN"/>
                    </w:rPr>
                  </w:pPr>
                  <w:r>
                    <w:rPr>
                      <w:rStyle w:val="38"/>
                      <w:rFonts w:hint="eastAsia" w:asciiTheme="minorHAnsi" w:hAnsiTheme="minorHAnsi" w:eastAsiaTheme="minorEastAsia" w:cstheme="minorBidi"/>
                      <w:kern w:val="2"/>
                      <w:lang w:eastAsia="zh-CN"/>
                    </w:rPr>
                    <w:t>化粪池</w:t>
                  </w:r>
                </w:p>
              </w:tc>
              <w:tc>
                <w:tcPr>
                  <w:tcW w:w="477" w:type="pct"/>
                  <w:vAlign w:val="center"/>
                </w:tcPr>
                <w:p>
                  <w:pPr>
                    <w:pStyle w:val="151"/>
                    <w:adjustRightInd w:val="0"/>
                    <w:snapToGrid w:val="0"/>
                    <w:jc w:val="center"/>
                    <w:rPr>
                      <w:rFonts w:eastAsiaTheme="minorEastAsia"/>
                    </w:rPr>
                  </w:pPr>
                  <w:r>
                    <w:rPr>
                      <w:rFonts w:eastAsiaTheme="minorEastAsia"/>
                    </w:rPr>
                    <w:t>DW001</w:t>
                  </w:r>
                </w:p>
              </w:tc>
              <w:tc>
                <w:tcPr>
                  <w:tcW w:w="417" w:type="pct"/>
                  <w:vAlign w:val="center"/>
                </w:tcPr>
                <w:p>
                  <w:pPr>
                    <w:adjustRightInd w:val="0"/>
                    <w:snapToGrid w:val="0"/>
                    <w:jc w:val="center"/>
                    <w:rPr>
                      <w:rFonts w:cs="Times New Roman"/>
                      <w:sz w:val="21"/>
                    </w:rPr>
                  </w:pPr>
                  <w:r>
                    <w:rPr>
                      <w:rFonts w:cs="Times New Roman"/>
                      <w:sz w:val="21"/>
                    </w:rPr>
                    <w:t>√是</w:t>
                  </w:r>
                </w:p>
                <w:p>
                  <w:pPr>
                    <w:adjustRightInd w:val="0"/>
                    <w:snapToGrid w:val="0"/>
                    <w:jc w:val="center"/>
                    <w:rPr>
                      <w:rFonts w:cs="Times New Roman"/>
                      <w:sz w:val="21"/>
                    </w:rPr>
                  </w:pPr>
                  <w:r>
                    <w:rPr>
                      <w:rFonts w:cs="Times New Roman"/>
                      <w:sz w:val="21"/>
                    </w:rPr>
                    <w:sym w:font="Wingdings 2" w:char="00A3"/>
                  </w:r>
                  <w:r>
                    <w:rPr>
                      <w:rFonts w:cs="Times New Roman"/>
                      <w:sz w:val="21"/>
                    </w:rPr>
                    <w:t>否</w:t>
                  </w:r>
                </w:p>
              </w:tc>
              <w:tc>
                <w:tcPr>
                  <w:tcW w:w="968" w:type="pct"/>
                  <w:vAlign w:val="center"/>
                </w:tcPr>
                <w:p>
                  <w:pPr>
                    <w:adjustRightInd w:val="0"/>
                    <w:snapToGrid w:val="0"/>
                    <w:rPr>
                      <w:rFonts w:cs="Times New Roman"/>
                      <w:sz w:val="21"/>
                    </w:rPr>
                  </w:pPr>
                  <w:r>
                    <w:rPr>
                      <w:rFonts w:cs="Times New Roman"/>
                      <w:sz w:val="21"/>
                    </w:rPr>
                    <w:t>√企业总排</w:t>
                  </w:r>
                </w:p>
                <w:p>
                  <w:pPr>
                    <w:adjustRightInd w:val="0"/>
                    <w:snapToGrid w:val="0"/>
                    <w:rPr>
                      <w:rFonts w:cs="Times New Roman"/>
                      <w:sz w:val="21"/>
                    </w:rPr>
                  </w:pPr>
                  <w:r>
                    <w:rPr>
                      <w:rFonts w:cs="Times New Roman"/>
                      <w:sz w:val="21"/>
                    </w:rPr>
                    <w:sym w:font="Wingdings 2" w:char="00A3"/>
                  </w:r>
                  <w:r>
                    <w:rPr>
                      <w:rFonts w:cs="Times New Roman"/>
                      <w:sz w:val="21"/>
                    </w:rPr>
                    <w:t>雨水排放</w:t>
                  </w:r>
                </w:p>
                <w:p>
                  <w:pPr>
                    <w:adjustRightInd w:val="0"/>
                    <w:snapToGrid w:val="0"/>
                    <w:rPr>
                      <w:rFonts w:cs="Times New Roman"/>
                      <w:sz w:val="21"/>
                    </w:rPr>
                  </w:pPr>
                  <w:r>
                    <w:rPr>
                      <w:rFonts w:cs="Times New Roman"/>
                      <w:sz w:val="21"/>
                    </w:rPr>
                    <w:sym w:font="Wingdings 2" w:char="00A3"/>
                  </w:r>
                  <w:r>
                    <w:rPr>
                      <w:rFonts w:cs="Times New Roman"/>
                      <w:sz w:val="21"/>
                    </w:rPr>
                    <w:t>清净下水排放</w:t>
                  </w:r>
                </w:p>
                <w:p>
                  <w:pPr>
                    <w:adjustRightInd w:val="0"/>
                    <w:snapToGrid w:val="0"/>
                    <w:rPr>
                      <w:rFonts w:cs="Times New Roman"/>
                      <w:sz w:val="21"/>
                    </w:rPr>
                  </w:pPr>
                  <w:r>
                    <w:rPr>
                      <w:rFonts w:cs="Times New Roman"/>
                      <w:sz w:val="21"/>
                    </w:rPr>
                    <w:sym w:font="Wingdings 2" w:char="00A3"/>
                  </w:r>
                  <w:r>
                    <w:rPr>
                      <w:rFonts w:cs="Times New Roman"/>
                      <w:sz w:val="21"/>
                    </w:rPr>
                    <w:t>温排水排放</w:t>
                  </w:r>
                </w:p>
                <w:p>
                  <w:pPr>
                    <w:adjustRightInd w:val="0"/>
                    <w:snapToGrid w:val="0"/>
                    <w:rPr>
                      <w:rFonts w:cs="Times New Roman"/>
                      <w:sz w:val="21"/>
                    </w:rPr>
                  </w:pPr>
                  <w:r>
                    <w:rPr>
                      <w:rFonts w:cs="Times New Roman"/>
                      <w:sz w:val="21"/>
                    </w:rPr>
                    <w:sym w:font="Wingdings 2" w:char="00A3"/>
                  </w:r>
                  <w:r>
                    <w:rPr>
                      <w:rFonts w:cs="Times New Roman"/>
                      <w:sz w:val="21"/>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31" w:type="pct"/>
                  <w:vAlign w:val="center"/>
                </w:tcPr>
                <w:p>
                  <w:pPr>
                    <w:adjustRightInd w:val="0"/>
                    <w:snapToGrid w:val="0"/>
                    <w:jc w:val="center"/>
                    <w:rPr>
                      <w:rFonts w:cs="Times New Roman"/>
                      <w:sz w:val="21"/>
                    </w:rPr>
                  </w:pPr>
                  <w:r>
                    <w:rPr>
                      <w:rFonts w:cs="Times New Roman"/>
                      <w:sz w:val="21"/>
                    </w:rPr>
                    <w:t>6</w:t>
                  </w:r>
                </w:p>
              </w:tc>
              <w:tc>
                <w:tcPr>
                  <w:tcW w:w="394" w:type="pct"/>
                  <w:vAlign w:val="center"/>
                </w:tcPr>
                <w:p>
                  <w:pPr>
                    <w:adjustRightInd w:val="0"/>
                    <w:snapToGrid w:val="0"/>
                    <w:jc w:val="center"/>
                    <w:rPr>
                      <w:rFonts w:cs="Times New Roman"/>
                      <w:sz w:val="21"/>
                    </w:rPr>
                  </w:pPr>
                  <w:r>
                    <w:rPr>
                      <w:rFonts w:cs="Times New Roman"/>
                      <w:sz w:val="21"/>
                    </w:rPr>
                    <w:t>雨水</w:t>
                  </w:r>
                </w:p>
              </w:tc>
              <w:tc>
                <w:tcPr>
                  <w:tcW w:w="509" w:type="pct"/>
                  <w:vAlign w:val="center"/>
                </w:tcPr>
                <w:p>
                  <w:pPr>
                    <w:adjustRightInd w:val="0"/>
                    <w:snapToGrid w:val="0"/>
                    <w:jc w:val="center"/>
                    <w:rPr>
                      <w:rFonts w:cs="Times New Roman"/>
                      <w:sz w:val="21"/>
                    </w:rPr>
                  </w:pPr>
                  <w:r>
                    <w:rPr>
                      <w:rFonts w:cs="Times New Roman"/>
                      <w:sz w:val="21"/>
                    </w:rPr>
                    <w:t>SS</w:t>
                  </w:r>
                </w:p>
              </w:tc>
              <w:tc>
                <w:tcPr>
                  <w:tcW w:w="438" w:type="pct"/>
                  <w:vAlign w:val="center"/>
                </w:tcPr>
                <w:p>
                  <w:pPr>
                    <w:adjustRightInd w:val="0"/>
                    <w:snapToGrid w:val="0"/>
                    <w:jc w:val="center"/>
                    <w:rPr>
                      <w:rFonts w:cs="Times New Roman"/>
                      <w:sz w:val="21"/>
                    </w:rPr>
                  </w:pPr>
                  <w:r>
                    <w:rPr>
                      <w:rFonts w:hint="eastAsia" w:hAnsi="宋体" w:eastAsia="宋体" w:cs="Times New Roman"/>
                      <w:sz w:val="21"/>
                    </w:rPr>
                    <w:t>初期雨水排污沉淀池用于沉淀，后期雨水排入西侧沟渠后汇入松阳湖</w:t>
                  </w:r>
                </w:p>
              </w:tc>
              <w:tc>
                <w:tcPr>
                  <w:tcW w:w="582" w:type="pct"/>
                  <w:vAlign w:val="center"/>
                </w:tcPr>
                <w:p>
                  <w:r>
                    <w:rPr>
                      <w:rFonts w:hint="eastAsia" w:ascii="宋体" w:hAnsi="宋体" w:eastAsia="宋体" w:cs="宋体"/>
                      <w:sz w:val="21"/>
                    </w:rPr>
                    <w:t>间接排放，排放期间流量不稳定，但有周期性规律</w:t>
                  </w:r>
                </w:p>
                <w:p>
                  <w:pPr>
                    <w:adjustRightInd w:val="0"/>
                    <w:snapToGrid w:val="0"/>
                    <w:jc w:val="center"/>
                    <w:rPr>
                      <w:rFonts w:cs="Times New Roman"/>
                      <w:sz w:val="21"/>
                    </w:rPr>
                  </w:pPr>
                </w:p>
              </w:tc>
              <w:tc>
                <w:tcPr>
                  <w:tcW w:w="238" w:type="pct"/>
                  <w:vAlign w:val="center"/>
                </w:tcPr>
                <w:p>
                  <w:pPr>
                    <w:pStyle w:val="151"/>
                    <w:adjustRightInd w:val="0"/>
                    <w:snapToGrid w:val="0"/>
                    <w:jc w:val="center"/>
                    <w:rPr>
                      <w:rFonts w:eastAsiaTheme="minorEastAsia"/>
                    </w:rPr>
                  </w:pPr>
                  <w:r>
                    <w:rPr>
                      <w:rFonts w:eastAsiaTheme="minorEastAsia"/>
                    </w:rPr>
                    <w:t>YS001</w:t>
                  </w:r>
                </w:p>
              </w:tc>
              <w:tc>
                <w:tcPr>
                  <w:tcW w:w="371" w:type="pct"/>
                  <w:vAlign w:val="center"/>
                </w:tcPr>
                <w:p>
                  <w:pPr>
                    <w:pStyle w:val="151"/>
                    <w:adjustRightInd w:val="0"/>
                    <w:snapToGrid w:val="0"/>
                    <w:jc w:val="center"/>
                    <w:rPr>
                      <w:rFonts w:eastAsiaTheme="minorEastAsia"/>
                    </w:rPr>
                  </w:pPr>
                  <w:r>
                    <w:rPr>
                      <w:rFonts w:hint="eastAsia" w:eastAsiaTheme="minorEastAsia"/>
                    </w:rPr>
                    <w:t>/</w:t>
                  </w:r>
                </w:p>
              </w:tc>
              <w:tc>
                <w:tcPr>
                  <w:tcW w:w="368" w:type="pct"/>
                  <w:vAlign w:val="center"/>
                </w:tcPr>
                <w:p>
                  <w:pPr>
                    <w:adjustRightInd w:val="0"/>
                    <w:snapToGrid w:val="0"/>
                    <w:jc w:val="center"/>
                    <w:rPr>
                      <w:rFonts w:cs="Times New Roman"/>
                      <w:sz w:val="21"/>
                    </w:rPr>
                  </w:pPr>
                  <w:r>
                    <w:rPr>
                      <w:rFonts w:hint="eastAsia" w:cs="Times New Roman"/>
                      <w:sz w:val="21"/>
                    </w:rPr>
                    <w:t>/</w:t>
                  </w:r>
                </w:p>
              </w:tc>
              <w:tc>
                <w:tcPr>
                  <w:tcW w:w="477" w:type="pct"/>
                  <w:vAlign w:val="center"/>
                </w:tcPr>
                <w:p>
                  <w:pPr>
                    <w:pStyle w:val="151"/>
                    <w:adjustRightInd w:val="0"/>
                    <w:snapToGrid w:val="0"/>
                    <w:jc w:val="center"/>
                    <w:rPr>
                      <w:rFonts w:eastAsiaTheme="minorEastAsia"/>
                    </w:rPr>
                  </w:pPr>
                  <w:r>
                    <w:rPr>
                      <w:rFonts w:eastAsiaTheme="minorEastAsia"/>
                    </w:rPr>
                    <w:t>DW00</w:t>
                  </w:r>
                  <w:r>
                    <w:rPr>
                      <w:rFonts w:hint="eastAsia" w:eastAsiaTheme="minorEastAsia"/>
                    </w:rPr>
                    <w:t>2</w:t>
                  </w:r>
                </w:p>
              </w:tc>
              <w:tc>
                <w:tcPr>
                  <w:tcW w:w="417" w:type="pct"/>
                  <w:vAlign w:val="center"/>
                </w:tcPr>
                <w:p>
                  <w:pPr>
                    <w:adjustRightInd w:val="0"/>
                    <w:snapToGrid w:val="0"/>
                    <w:jc w:val="center"/>
                    <w:rPr>
                      <w:rFonts w:cs="Times New Roman"/>
                      <w:sz w:val="21"/>
                    </w:rPr>
                  </w:pPr>
                  <w:r>
                    <w:rPr>
                      <w:rFonts w:cs="Times New Roman"/>
                    </w:rPr>
                    <w:sym w:font="Wingdings 2" w:char="0052"/>
                  </w:r>
                  <w:r>
                    <w:rPr>
                      <w:rFonts w:cs="Times New Roman"/>
                      <w:sz w:val="21"/>
                    </w:rPr>
                    <w:t>是</w:t>
                  </w:r>
                </w:p>
                <w:p>
                  <w:pPr>
                    <w:adjustRightInd w:val="0"/>
                    <w:snapToGrid w:val="0"/>
                    <w:jc w:val="center"/>
                    <w:rPr>
                      <w:rFonts w:cs="Times New Roman"/>
                      <w:sz w:val="21"/>
                    </w:rPr>
                  </w:pPr>
                  <w:r>
                    <w:rPr>
                      <w:rFonts w:cs="Times New Roman"/>
                    </w:rPr>
                    <w:sym w:font="Wingdings 2" w:char="00A3"/>
                  </w:r>
                  <w:r>
                    <w:rPr>
                      <w:rFonts w:cs="Times New Roman"/>
                      <w:sz w:val="21"/>
                    </w:rPr>
                    <w:t>否</w:t>
                  </w:r>
                </w:p>
              </w:tc>
              <w:tc>
                <w:tcPr>
                  <w:tcW w:w="968" w:type="pct"/>
                  <w:vAlign w:val="center"/>
                </w:tcPr>
                <w:p>
                  <w:pPr>
                    <w:adjustRightInd w:val="0"/>
                    <w:snapToGrid w:val="0"/>
                    <w:rPr>
                      <w:rFonts w:cs="Times New Roman"/>
                      <w:sz w:val="21"/>
                    </w:rPr>
                  </w:pPr>
                  <w:r>
                    <w:rPr>
                      <w:rFonts w:cs="Times New Roman"/>
                    </w:rPr>
                    <w:sym w:font="Wingdings 2" w:char="00A3"/>
                  </w:r>
                  <w:r>
                    <w:rPr>
                      <w:rFonts w:cs="Times New Roman"/>
                      <w:sz w:val="21"/>
                    </w:rPr>
                    <w:t>企业总排</w:t>
                  </w:r>
                </w:p>
                <w:p>
                  <w:pPr>
                    <w:adjustRightInd w:val="0"/>
                    <w:snapToGrid w:val="0"/>
                    <w:rPr>
                      <w:rFonts w:cs="Times New Roman"/>
                      <w:sz w:val="21"/>
                    </w:rPr>
                  </w:pPr>
                  <w:r>
                    <w:rPr>
                      <w:rFonts w:cs="Times New Roman"/>
                    </w:rPr>
                    <w:sym w:font="Wingdings 2" w:char="0052"/>
                  </w:r>
                  <w:r>
                    <w:rPr>
                      <w:rFonts w:cs="Times New Roman"/>
                      <w:sz w:val="21"/>
                    </w:rPr>
                    <w:t>雨水排放</w:t>
                  </w:r>
                </w:p>
                <w:p>
                  <w:pPr>
                    <w:adjustRightInd w:val="0"/>
                    <w:snapToGrid w:val="0"/>
                    <w:rPr>
                      <w:rFonts w:cs="Times New Roman"/>
                      <w:sz w:val="21"/>
                    </w:rPr>
                  </w:pPr>
                  <w:r>
                    <w:rPr>
                      <w:rFonts w:cs="Times New Roman"/>
                    </w:rPr>
                    <w:sym w:font="Wingdings 2" w:char="00A3"/>
                  </w:r>
                  <w:r>
                    <w:rPr>
                      <w:rFonts w:cs="Times New Roman"/>
                      <w:sz w:val="21"/>
                    </w:rPr>
                    <w:t>清净下水排放</w:t>
                  </w:r>
                </w:p>
                <w:p>
                  <w:pPr>
                    <w:adjustRightInd w:val="0"/>
                    <w:snapToGrid w:val="0"/>
                    <w:rPr>
                      <w:rFonts w:cs="Times New Roman"/>
                      <w:sz w:val="21"/>
                    </w:rPr>
                  </w:pPr>
                  <w:r>
                    <w:rPr>
                      <w:rFonts w:cs="Times New Roman"/>
                    </w:rPr>
                    <w:sym w:font="Wingdings 2" w:char="00A3"/>
                  </w:r>
                  <w:r>
                    <w:rPr>
                      <w:rFonts w:cs="Times New Roman"/>
                      <w:sz w:val="21"/>
                    </w:rPr>
                    <w:t>温排水排放</w:t>
                  </w:r>
                </w:p>
                <w:p>
                  <w:pPr>
                    <w:adjustRightInd w:val="0"/>
                    <w:snapToGrid w:val="0"/>
                    <w:rPr>
                      <w:rFonts w:cs="Times New Roman"/>
                      <w:sz w:val="21"/>
                    </w:rPr>
                  </w:pPr>
                  <w:r>
                    <w:rPr>
                      <w:rFonts w:cs="Times New Roman"/>
                    </w:rPr>
                    <w:sym w:font="Wingdings 2" w:char="00A3"/>
                  </w:r>
                  <w:r>
                    <w:rPr>
                      <w:rFonts w:cs="Times New Roman"/>
                      <w:sz w:val="21"/>
                    </w:rPr>
                    <w:t>车间或车间处理设施排放口</w:t>
                  </w:r>
                </w:p>
              </w:tc>
            </w:tr>
          </w:tbl>
          <w:p>
            <w:pPr>
              <w:keepNext/>
              <w:ind w:firstLine="422" w:firstLineChars="200"/>
              <w:jc w:val="center"/>
              <w:rPr>
                <w:rFonts w:cs="Times New Roman"/>
                <w:b/>
                <w:sz w:val="21"/>
              </w:rPr>
            </w:pPr>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7.2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3</w:t>
            </w:r>
            <w:r>
              <w:rPr>
                <w:rFonts w:cs="Times New Roman"/>
                <w:b/>
                <w:sz w:val="21"/>
              </w:rPr>
              <w:fldChar w:fldCharType="end"/>
            </w:r>
            <w:r>
              <w:rPr>
                <w:rFonts w:cs="Times New Roman"/>
                <w:b/>
                <w:sz w:val="21"/>
              </w:rPr>
              <w:t xml:space="preserve"> 废水污染物排放执行标准表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285"/>
              <w:gridCol w:w="1809"/>
              <w:gridCol w:w="1499"/>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vAlign w:val="center"/>
                </w:tcPr>
                <w:p>
                  <w:pPr>
                    <w:adjustRightInd w:val="0"/>
                    <w:snapToGrid w:val="0"/>
                    <w:jc w:val="center"/>
                    <w:rPr>
                      <w:rFonts w:cs="Times New Roman"/>
                      <w:color w:val="000000"/>
                      <w:sz w:val="21"/>
                    </w:rPr>
                  </w:pPr>
                  <w:r>
                    <w:rPr>
                      <w:rFonts w:cs="Times New Roman"/>
                      <w:color w:val="000000"/>
                      <w:sz w:val="21"/>
                    </w:rPr>
                    <w:t>序号</w:t>
                  </w:r>
                </w:p>
              </w:tc>
              <w:tc>
                <w:tcPr>
                  <w:tcW w:w="774" w:type="pct"/>
                  <w:vAlign w:val="center"/>
                </w:tcPr>
                <w:p>
                  <w:pPr>
                    <w:adjustRightInd w:val="0"/>
                    <w:snapToGrid w:val="0"/>
                    <w:jc w:val="center"/>
                    <w:rPr>
                      <w:rFonts w:cs="Times New Roman"/>
                      <w:color w:val="000000"/>
                      <w:sz w:val="21"/>
                    </w:rPr>
                  </w:pPr>
                  <w:r>
                    <w:rPr>
                      <w:rFonts w:cs="Times New Roman"/>
                      <w:color w:val="000000"/>
                      <w:sz w:val="21"/>
                    </w:rPr>
                    <w:t>排放口编号</w:t>
                  </w:r>
                </w:p>
              </w:tc>
              <w:tc>
                <w:tcPr>
                  <w:tcW w:w="1090" w:type="pct"/>
                  <w:vAlign w:val="center"/>
                </w:tcPr>
                <w:p>
                  <w:pPr>
                    <w:adjustRightInd w:val="0"/>
                    <w:snapToGrid w:val="0"/>
                    <w:jc w:val="center"/>
                    <w:rPr>
                      <w:rFonts w:cs="Times New Roman"/>
                      <w:color w:val="000000"/>
                      <w:sz w:val="21"/>
                    </w:rPr>
                  </w:pPr>
                  <w:r>
                    <w:rPr>
                      <w:rFonts w:cs="Times New Roman"/>
                      <w:color w:val="000000"/>
                      <w:sz w:val="21"/>
                    </w:rPr>
                    <w:t>污染物种类</w:t>
                  </w:r>
                </w:p>
              </w:tc>
              <w:tc>
                <w:tcPr>
                  <w:tcW w:w="2571" w:type="pct"/>
                  <w:gridSpan w:val="2"/>
                  <w:vAlign w:val="center"/>
                </w:tcPr>
                <w:p>
                  <w:pPr>
                    <w:adjustRightInd w:val="0"/>
                    <w:snapToGrid w:val="0"/>
                    <w:jc w:val="center"/>
                    <w:rPr>
                      <w:rFonts w:cs="Times New Roman"/>
                      <w:color w:val="000000"/>
                      <w:sz w:val="21"/>
                    </w:rPr>
                  </w:pPr>
                  <w:r>
                    <w:rPr>
                      <w:rFonts w:cs="Times New Roman"/>
                      <w:color w:val="000000"/>
                      <w:sz w:val="21"/>
                    </w:rPr>
                    <w:t>国家或地方污染物排放标准及其他按规定商定的排放协议</w:t>
                  </w:r>
                  <w:r>
                    <w:rPr>
                      <w:rFonts w:cs="Times New Roman"/>
                      <w:color w:val="000000"/>
                      <w:sz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vMerge w:val="restart"/>
                  <w:vAlign w:val="center"/>
                </w:tcPr>
                <w:p>
                  <w:pPr>
                    <w:pStyle w:val="118"/>
                    <w:adjustRightInd w:val="0"/>
                    <w:snapToGrid w:val="0"/>
                    <w:spacing w:line="240" w:lineRule="auto"/>
                    <w:jc w:val="center"/>
                    <w:rPr>
                      <w:rFonts w:eastAsiaTheme="minorEastAsia"/>
                      <w:bCs/>
                      <w:color w:val="000000"/>
                      <w:sz w:val="21"/>
                      <w:szCs w:val="21"/>
                    </w:rPr>
                  </w:pPr>
                  <w:r>
                    <w:rPr>
                      <w:rFonts w:eastAsiaTheme="minorEastAsia"/>
                      <w:bCs/>
                      <w:color w:val="000000"/>
                      <w:sz w:val="21"/>
                      <w:szCs w:val="21"/>
                    </w:rPr>
                    <w:t>1</w:t>
                  </w:r>
                </w:p>
              </w:tc>
              <w:tc>
                <w:tcPr>
                  <w:tcW w:w="774" w:type="pct"/>
                  <w:vMerge w:val="restart"/>
                  <w:vAlign w:val="center"/>
                </w:tcPr>
                <w:p>
                  <w:pPr>
                    <w:pStyle w:val="118"/>
                    <w:adjustRightInd w:val="0"/>
                    <w:snapToGrid w:val="0"/>
                    <w:spacing w:line="240" w:lineRule="auto"/>
                    <w:ind w:firstLine="0"/>
                    <w:jc w:val="center"/>
                    <w:rPr>
                      <w:rFonts w:eastAsiaTheme="minorEastAsia"/>
                      <w:bCs/>
                      <w:color w:val="000000"/>
                      <w:sz w:val="21"/>
                      <w:szCs w:val="21"/>
                    </w:rPr>
                  </w:pPr>
                  <w:r>
                    <w:rPr>
                      <w:rFonts w:eastAsiaTheme="minorEastAsia"/>
                      <w:sz w:val="21"/>
                      <w:szCs w:val="21"/>
                    </w:rPr>
                    <w:t>DW001</w:t>
                  </w:r>
                </w:p>
              </w:tc>
              <w:tc>
                <w:tcPr>
                  <w:tcW w:w="1090" w:type="pct"/>
                  <w:vAlign w:val="center"/>
                </w:tcPr>
                <w:p>
                  <w:pPr>
                    <w:pStyle w:val="118"/>
                    <w:adjustRightInd w:val="0"/>
                    <w:snapToGrid w:val="0"/>
                    <w:spacing w:line="240" w:lineRule="auto"/>
                    <w:ind w:firstLine="0"/>
                    <w:jc w:val="center"/>
                    <w:rPr>
                      <w:rFonts w:eastAsiaTheme="minorEastAsia"/>
                      <w:bCs/>
                      <w:color w:val="000000"/>
                      <w:sz w:val="21"/>
                      <w:szCs w:val="21"/>
                    </w:rPr>
                  </w:pPr>
                  <w:r>
                    <w:rPr>
                      <w:rFonts w:eastAsiaTheme="minorEastAsia"/>
                      <w:bCs/>
                      <w:color w:val="000000"/>
                      <w:sz w:val="21"/>
                      <w:szCs w:val="21"/>
                    </w:rPr>
                    <w:t>pH</w:t>
                  </w:r>
                </w:p>
              </w:tc>
              <w:tc>
                <w:tcPr>
                  <w:tcW w:w="903" w:type="pct"/>
                  <w:vAlign w:val="center"/>
                </w:tcPr>
                <w:p>
                  <w:pPr>
                    <w:pStyle w:val="118"/>
                    <w:adjustRightInd w:val="0"/>
                    <w:snapToGrid w:val="0"/>
                    <w:spacing w:line="240" w:lineRule="auto"/>
                    <w:ind w:firstLine="0"/>
                    <w:jc w:val="center"/>
                    <w:rPr>
                      <w:rFonts w:eastAsiaTheme="minorEastAsia"/>
                      <w:bCs/>
                      <w:color w:val="000000"/>
                      <w:sz w:val="21"/>
                      <w:szCs w:val="21"/>
                    </w:rPr>
                  </w:pPr>
                  <w:r>
                    <w:rPr>
                      <w:rFonts w:eastAsiaTheme="minorEastAsia"/>
                      <w:color w:val="000000"/>
                      <w:sz w:val="21"/>
                      <w:szCs w:val="21"/>
                    </w:rPr>
                    <w:t>≤</w:t>
                  </w:r>
                  <w:r>
                    <w:rPr>
                      <w:rFonts w:eastAsiaTheme="minorEastAsia"/>
                      <w:bCs/>
                      <w:color w:val="000000"/>
                      <w:sz w:val="21"/>
                      <w:szCs w:val="21"/>
                    </w:rPr>
                    <w:t>6-9</w:t>
                  </w:r>
                </w:p>
              </w:tc>
              <w:tc>
                <w:tcPr>
                  <w:tcW w:w="1668" w:type="pct"/>
                  <w:vMerge w:val="restart"/>
                  <w:vAlign w:val="center"/>
                </w:tcPr>
                <w:p>
                  <w:pPr>
                    <w:pStyle w:val="118"/>
                    <w:adjustRightInd w:val="0"/>
                    <w:snapToGrid w:val="0"/>
                    <w:spacing w:line="240" w:lineRule="auto"/>
                    <w:ind w:firstLine="0"/>
                    <w:rPr>
                      <w:rFonts w:eastAsiaTheme="minorEastAsia"/>
                      <w:bCs/>
                      <w:color w:val="000000"/>
                      <w:sz w:val="21"/>
                      <w:szCs w:val="21"/>
                    </w:rPr>
                  </w:pPr>
                  <w:r>
                    <w:rPr>
                      <w:rFonts w:eastAsiaTheme="minorEastAsia"/>
                      <w:bCs/>
                      <w:color w:val="000000"/>
                      <w:sz w:val="21"/>
                      <w:szCs w:val="21"/>
                    </w:rPr>
                    <w:t>生活废水执行《污水综合排放标准》(GB8978-1996)表</w:t>
                  </w:r>
                  <w:r>
                    <w:rPr>
                      <w:rFonts w:hint="eastAsia" w:eastAsiaTheme="minorEastAsia"/>
                      <w:bCs/>
                      <w:color w:val="000000"/>
                      <w:sz w:val="21"/>
                      <w:szCs w:val="21"/>
                    </w:rPr>
                    <w:t>4</w:t>
                  </w:r>
                  <w:r>
                    <w:rPr>
                      <w:rFonts w:eastAsiaTheme="minorEastAsia"/>
                      <w:bCs/>
                      <w:color w:val="000000"/>
                      <w:sz w:val="21"/>
                      <w:szCs w:val="21"/>
                    </w:rPr>
                    <w:t>中三级标准。</w:t>
                  </w:r>
                </w:p>
                <w:p>
                  <w:pPr>
                    <w:pStyle w:val="118"/>
                    <w:adjustRightInd w:val="0"/>
                    <w:snapToGrid w:val="0"/>
                    <w:spacing w:line="240" w:lineRule="auto"/>
                    <w:rPr>
                      <w:rFonts w:eastAsiaTheme="minorEastAsia"/>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vMerge w:val="continue"/>
                  <w:vAlign w:val="center"/>
                </w:tcPr>
                <w:p>
                  <w:pPr>
                    <w:pStyle w:val="118"/>
                    <w:adjustRightInd w:val="0"/>
                    <w:snapToGrid w:val="0"/>
                    <w:spacing w:line="240" w:lineRule="auto"/>
                    <w:jc w:val="center"/>
                    <w:rPr>
                      <w:rFonts w:eastAsiaTheme="minorEastAsia"/>
                      <w:bCs/>
                      <w:sz w:val="21"/>
                      <w:szCs w:val="21"/>
                    </w:rPr>
                  </w:pPr>
                </w:p>
              </w:tc>
              <w:tc>
                <w:tcPr>
                  <w:tcW w:w="774" w:type="pct"/>
                  <w:vMerge w:val="continue"/>
                  <w:vAlign w:val="center"/>
                </w:tcPr>
                <w:p>
                  <w:pPr>
                    <w:pStyle w:val="118"/>
                    <w:adjustRightInd w:val="0"/>
                    <w:snapToGrid w:val="0"/>
                    <w:spacing w:line="240" w:lineRule="auto"/>
                    <w:jc w:val="center"/>
                    <w:rPr>
                      <w:rFonts w:eastAsiaTheme="minorEastAsia"/>
                      <w:bCs/>
                      <w:color w:val="000000"/>
                      <w:sz w:val="21"/>
                      <w:szCs w:val="21"/>
                    </w:rPr>
                  </w:pPr>
                </w:p>
              </w:tc>
              <w:tc>
                <w:tcPr>
                  <w:tcW w:w="1090" w:type="pct"/>
                  <w:vAlign w:val="center"/>
                </w:tcPr>
                <w:p>
                  <w:pPr>
                    <w:pStyle w:val="118"/>
                    <w:adjustRightInd w:val="0"/>
                    <w:snapToGrid w:val="0"/>
                    <w:spacing w:line="240" w:lineRule="auto"/>
                    <w:ind w:firstLine="0"/>
                    <w:jc w:val="center"/>
                    <w:rPr>
                      <w:rFonts w:eastAsiaTheme="minorEastAsia"/>
                      <w:bCs/>
                      <w:color w:val="000000"/>
                      <w:sz w:val="21"/>
                      <w:szCs w:val="21"/>
                    </w:rPr>
                  </w:pPr>
                  <w:r>
                    <w:rPr>
                      <w:rFonts w:eastAsiaTheme="minorEastAsia"/>
                      <w:bCs/>
                      <w:color w:val="000000"/>
                      <w:sz w:val="21"/>
                      <w:szCs w:val="21"/>
                    </w:rPr>
                    <w:t>COD</w:t>
                  </w:r>
                </w:p>
              </w:tc>
              <w:tc>
                <w:tcPr>
                  <w:tcW w:w="903" w:type="pct"/>
                  <w:vAlign w:val="center"/>
                </w:tcPr>
                <w:p>
                  <w:pPr>
                    <w:pStyle w:val="118"/>
                    <w:adjustRightInd w:val="0"/>
                    <w:snapToGrid w:val="0"/>
                    <w:spacing w:line="240" w:lineRule="auto"/>
                    <w:ind w:firstLine="0"/>
                    <w:jc w:val="center"/>
                    <w:rPr>
                      <w:rFonts w:eastAsiaTheme="minorEastAsia"/>
                      <w:bCs/>
                      <w:color w:val="000000"/>
                      <w:sz w:val="21"/>
                      <w:szCs w:val="21"/>
                    </w:rPr>
                  </w:pPr>
                  <w:r>
                    <w:rPr>
                      <w:rFonts w:eastAsiaTheme="minorEastAsia"/>
                      <w:color w:val="000000"/>
                      <w:sz w:val="21"/>
                      <w:szCs w:val="21"/>
                    </w:rPr>
                    <w:t>≤</w:t>
                  </w:r>
                  <w:r>
                    <w:rPr>
                      <w:rFonts w:eastAsiaTheme="minorEastAsia"/>
                      <w:bCs/>
                      <w:color w:val="000000"/>
                      <w:sz w:val="21"/>
                      <w:szCs w:val="21"/>
                    </w:rPr>
                    <w:t>500</w:t>
                  </w:r>
                </w:p>
              </w:tc>
              <w:tc>
                <w:tcPr>
                  <w:tcW w:w="1668" w:type="pct"/>
                  <w:vMerge w:val="continue"/>
                  <w:vAlign w:val="center"/>
                </w:tcPr>
                <w:p>
                  <w:pPr>
                    <w:pStyle w:val="118"/>
                    <w:adjustRightInd w:val="0"/>
                    <w:snapToGrid w:val="0"/>
                    <w:spacing w:line="240" w:lineRule="auto"/>
                    <w:rPr>
                      <w:rFonts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63" w:type="pct"/>
                  <w:vMerge w:val="continue"/>
                  <w:vAlign w:val="center"/>
                </w:tcPr>
                <w:p>
                  <w:pPr>
                    <w:pStyle w:val="118"/>
                    <w:adjustRightInd w:val="0"/>
                    <w:snapToGrid w:val="0"/>
                    <w:spacing w:line="240" w:lineRule="auto"/>
                    <w:jc w:val="center"/>
                    <w:rPr>
                      <w:rFonts w:eastAsiaTheme="minorEastAsia"/>
                      <w:bCs/>
                      <w:sz w:val="21"/>
                      <w:szCs w:val="21"/>
                    </w:rPr>
                  </w:pPr>
                </w:p>
              </w:tc>
              <w:tc>
                <w:tcPr>
                  <w:tcW w:w="774" w:type="pct"/>
                  <w:vMerge w:val="continue"/>
                  <w:vAlign w:val="center"/>
                </w:tcPr>
                <w:p>
                  <w:pPr>
                    <w:pStyle w:val="118"/>
                    <w:adjustRightInd w:val="0"/>
                    <w:snapToGrid w:val="0"/>
                    <w:spacing w:line="240" w:lineRule="auto"/>
                    <w:jc w:val="center"/>
                    <w:rPr>
                      <w:rFonts w:eastAsiaTheme="minorEastAsia"/>
                      <w:bCs/>
                      <w:color w:val="000000"/>
                      <w:sz w:val="21"/>
                      <w:szCs w:val="21"/>
                    </w:rPr>
                  </w:pPr>
                </w:p>
              </w:tc>
              <w:tc>
                <w:tcPr>
                  <w:tcW w:w="1090" w:type="pct"/>
                  <w:vAlign w:val="center"/>
                </w:tcPr>
                <w:p>
                  <w:pPr>
                    <w:pStyle w:val="118"/>
                    <w:adjustRightInd w:val="0"/>
                    <w:snapToGrid w:val="0"/>
                    <w:spacing w:line="240" w:lineRule="auto"/>
                    <w:ind w:firstLine="0"/>
                    <w:jc w:val="center"/>
                    <w:rPr>
                      <w:rFonts w:eastAsiaTheme="minorEastAsia"/>
                      <w:bCs/>
                      <w:color w:val="000000"/>
                      <w:sz w:val="21"/>
                      <w:szCs w:val="21"/>
                    </w:rPr>
                  </w:pPr>
                  <w:r>
                    <w:rPr>
                      <w:rFonts w:eastAsiaTheme="minorEastAsia"/>
                      <w:bCs/>
                      <w:color w:val="000000"/>
                      <w:sz w:val="21"/>
                      <w:szCs w:val="21"/>
                    </w:rPr>
                    <w:t>BOD</w:t>
                  </w:r>
                  <w:r>
                    <w:rPr>
                      <w:rFonts w:eastAsiaTheme="minorEastAsia"/>
                      <w:bCs/>
                      <w:color w:val="000000"/>
                      <w:sz w:val="21"/>
                      <w:szCs w:val="21"/>
                      <w:vertAlign w:val="subscript"/>
                    </w:rPr>
                    <w:t>5</w:t>
                  </w:r>
                </w:p>
              </w:tc>
              <w:tc>
                <w:tcPr>
                  <w:tcW w:w="903" w:type="pct"/>
                  <w:vAlign w:val="center"/>
                </w:tcPr>
                <w:p>
                  <w:pPr>
                    <w:pStyle w:val="118"/>
                    <w:adjustRightInd w:val="0"/>
                    <w:snapToGrid w:val="0"/>
                    <w:spacing w:line="240" w:lineRule="auto"/>
                    <w:ind w:firstLine="0"/>
                    <w:jc w:val="center"/>
                    <w:rPr>
                      <w:rFonts w:eastAsiaTheme="minorEastAsia"/>
                      <w:bCs/>
                      <w:color w:val="000000"/>
                      <w:sz w:val="21"/>
                      <w:szCs w:val="21"/>
                    </w:rPr>
                  </w:pPr>
                  <w:r>
                    <w:rPr>
                      <w:rFonts w:eastAsiaTheme="minorEastAsia"/>
                      <w:color w:val="000000"/>
                      <w:sz w:val="21"/>
                      <w:szCs w:val="21"/>
                    </w:rPr>
                    <w:t>≤</w:t>
                  </w:r>
                  <w:r>
                    <w:rPr>
                      <w:rFonts w:eastAsiaTheme="minorEastAsia"/>
                      <w:bCs/>
                      <w:color w:val="000000"/>
                      <w:sz w:val="21"/>
                      <w:szCs w:val="21"/>
                    </w:rPr>
                    <w:t>300</w:t>
                  </w:r>
                </w:p>
              </w:tc>
              <w:tc>
                <w:tcPr>
                  <w:tcW w:w="1668" w:type="pct"/>
                  <w:vMerge w:val="continue"/>
                  <w:vAlign w:val="center"/>
                </w:tcPr>
                <w:p>
                  <w:pPr>
                    <w:pStyle w:val="118"/>
                    <w:adjustRightInd w:val="0"/>
                    <w:snapToGrid w:val="0"/>
                    <w:spacing w:line="240" w:lineRule="auto"/>
                    <w:rPr>
                      <w:rFonts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vMerge w:val="continue"/>
                  <w:vAlign w:val="center"/>
                </w:tcPr>
                <w:p>
                  <w:pPr>
                    <w:pStyle w:val="118"/>
                    <w:adjustRightInd w:val="0"/>
                    <w:snapToGrid w:val="0"/>
                    <w:spacing w:line="240" w:lineRule="auto"/>
                    <w:jc w:val="center"/>
                    <w:rPr>
                      <w:rFonts w:eastAsiaTheme="minorEastAsia"/>
                      <w:bCs/>
                      <w:sz w:val="21"/>
                      <w:szCs w:val="21"/>
                    </w:rPr>
                  </w:pPr>
                </w:p>
              </w:tc>
              <w:tc>
                <w:tcPr>
                  <w:tcW w:w="774" w:type="pct"/>
                  <w:vMerge w:val="continue"/>
                  <w:vAlign w:val="center"/>
                </w:tcPr>
                <w:p>
                  <w:pPr>
                    <w:pStyle w:val="118"/>
                    <w:adjustRightInd w:val="0"/>
                    <w:snapToGrid w:val="0"/>
                    <w:spacing w:line="240" w:lineRule="auto"/>
                    <w:jc w:val="center"/>
                    <w:rPr>
                      <w:rFonts w:eastAsiaTheme="minorEastAsia"/>
                      <w:bCs/>
                      <w:color w:val="000000"/>
                      <w:sz w:val="21"/>
                      <w:szCs w:val="21"/>
                    </w:rPr>
                  </w:pPr>
                </w:p>
              </w:tc>
              <w:tc>
                <w:tcPr>
                  <w:tcW w:w="1090" w:type="pct"/>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color w:val="000000" w:themeColor="text1"/>
                      <w:sz w:val="21"/>
                    </w:rPr>
                    <w:t>NH</w:t>
                  </w:r>
                  <w:r>
                    <w:rPr>
                      <w:rFonts w:eastAsiaTheme="minorEastAsia"/>
                      <w:color w:val="000000" w:themeColor="text1"/>
                      <w:sz w:val="21"/>
                      <w:vertAlign w:val="subscript"/>
                    </w:rPr>
                    <w:t>3</w:t>
                  </w:r>
                  <w:r>
                    <w:rPr>
                      <w:rFonts w:eastAsiaTheme="minorEastAsia"/>
                      <w:color w:val="000000" w:themeColor="text1"/>
                      <w:sz w:val="21"/>
                    </w:rPr>
                    <w:t>-N</w:t>
                  </w:r>
                </w:p>
              </w:tc>
              <w:tc>
                <w:tcPr>
                  <w:tcW w:w="903" w:type="pct"/>
                  <w:vAlign w:val="center"/>
                </w:tcPr>
                <w:p>
                  <w:pPr>
                    <w:pStyle w:val="118"/>
                    <w:adjustRightInd w:val="0"/>
                    <w:snapToGrid w:val="0"/>
                    <w:spacing w:line="240" w:lineRule="auto"/>
                    <w:ind w:firstLine="0"/>
                    <w:jc w:val="center"/>
                    <w:rPr>
                      <w:rFonts w:eastAsiaTheme="minorEastAsia"/>
                      <w:bCs/>
                      <w:color w:val="000000"/>
                      <w:sz w:val="21"/>
                      <w:szCs w:val="21"/>
                    </w:rPr>
                  </w:pPr>
                  <w:r>
                    <w:rPr>
                      <w:rFonts w:hint="eastAsia" w:eastAsiaTheme="minorEastAsia"/>
                      <w:color w:val="000000"/>
                      <w:sz w:val="21"/>
                      <w:szCs w:val="21"/>
                    </w:rPr>
                    <w:t>/</w:t>
                  </w:r>
                </w:p>
              </w:tc>
              <w:tc>
                <w:tcPr>
                  <w:tcW w:w="1668" w:type="pct"/>
                  <w:vMerge w:val="continue"/>
                  <w:vAlign w:val="center"/>
                </w:tcPr>
                <w:p>
                  <w:pPr>
                    <w:pStyle w:val="118"/>
                    <w:adjustRightInd w:val="0"/>
                    <w:snapToGrid w:val="0"/>
                    <w:spacing w:line="240" w:lineRule="auto"/>
                    <w:rPr>
                      <w:rFonts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pct"/>
                  <w:vMerge w:val="continue"/>
                  <w:vAlign w:val="center"/>
                </w:tcPr>
                <w:p>
                  <w:pPr>
                    <w:pStyle w:val="118"/>
                    <w:adjustRightInd w:val="0"/>
                    <w:snapToGrid w:val="0"/>
                    <w:spacing w:line="240" w:lineRule="auto"/>
                    <w:jc w:val="center"/>
                    <w:rPr>
                      <w:rFonts w:eastAsiaTheme="minorEastAsia"/>
                      <w:bCs/>
                      <w:sz w:val="21"/>
                      <w:szCs w:val="21"/>
                    </w:rPr>
                  </w:pPr>
                </w:p>
              </w:tc>
              <w:tc>
                <w:tcPr>
                  <w:tcW w:w="774" w:type="pct"/>
                  <w:vMerge w:val="continue"/>
                  <w:vAlign w:val="center"/>
                </w:tcPr>
                <w:p>
                  <w:pPr>
                    <w:pStyle w:val="118"/>
                    <w:adjustRightInd w:val="0"/>
                    <w:snapToGrid w:val="0"/>
                    <w:spacing w:line="240" w:lineRule="auto"/>
                    <w:jc w:val="center"/>
                    <w:rPr>
                      <w:rFonts w:eastAsiaTheme="minorEastAsia"/>
                      <w:bCs/>
                      <w:color w:val="000000"/>
                      <w:sz w:val="21"/>
                      <w:szCs w:val="21"/>
                    </w:rPr>
                  </w:pPr>
                </w:p>
              </w:tc>
              <w:tc>
                <w:tcPr>
                  <w:tcW w:w="1090" w:type="pct"/>
                  <w:vAlign w:val="center"/>
                </w:tcPr>
                <w:p>
                  <w:pPr>
                    <w:pStyle w:val="118"/>
                    <w:adjustRightInd w:val="0"/>
                    <w:snapToGrid w:val="0"/>
                    <w:spacing w:line="240" w:lineRule="auto"/>
                    <w:ind w:firstLine="0"/>
                    <w:jc w:val="center"/>
                    <w:rPr>
                      <w:rFonts w:eastAsiaTheme="minorEastAsia"/>
                      <w:bCs/>
                      <w:color w:val="000000"/>
                      <w:sz w:val="21"/>
                      <w:szCs w:val="21"/>
                    </w:rPr>
                  </w:pPr>
                  <w:r>
                    <w:rPr>
                      <w:rFonts w:eastAsiaTheme="minorEastAsia"/>
                      <w:bCs/>
                      <w:color w:val="000000"/>
                      <w:sz w:val="21"/>
                      <w:szCs w:val="21"/>
                    </w:rPr>
                    <w:t>SS</w:t>
                  </w:r>
                </w:p>
              </w:tc>
              <w:tc>
                <w:tcPr>
                  <w:tcW w:w="903" w:type="pct"/>
                  <w:vAlign w:val="center"/>
                </w:tcPr>
                <w:p>
                  <w:pPr>
                    <w:pStyle w:val="118"/>
                    <w:adjustRightInd w:val="0"/>
                    <w:snapToGrid w:val="0"/>
                    <w:spacing w:line="240" w:lineRule="auto"/>
                    <w:ind w:firstLine="0"/>
                    <w:jc w:val="center"/>
                    <w:rPr>
                      <w:rFonts w:eastAsiaTheme="minorEastAsia"/>
                      <w:bCs/>
                      <w:color w:val="000000"/>
                      <w:sz w:val="21"/>
                      <w:szCs w:val="21"/>
                    </w:rPr>
                  </w:pPr>
                  <w:r>
                    <w:rPr>
                      <w:rFonts w:eastAsiaTheme="minorEastAsia"/>
                      <w:color w:val="000000"/>
                      <w:sz w:val="21"/>
                      <w:szCs w:val="21"/>
                    </w:rPr>
                    <w:t>≤</w:t>
                  </w:r>
                  <w:r>
                    <w:rPr>
                      <w:rFonts w:eastAsiaTheme="minorEastAsia"/>
                      <w:bCs/>
                      <w:color w:val="000000"/>
                      <w:sz w:val="21"/>
                      <w:szCs w:val="21"/>
                    </w:rPr>
                    <w:t>400</w:t>
                  </w:r>
                </w:p>
              </w:tc>
              <w:tc>
                <w:tcPr>
                  <w:tcW w:w="1668" w:type="pct"/>
                  <w:vMerge w:val="continue"/>
                  <w:vAlign w:val="center"/>
                </w:tcPr>
                <w:p>
                  <w:pPr>
                    <w:pStyle w:val="118"/>
                    <w:adjustRightInd w:val="0"/>
                    <w:snapToGrid w:val="0"/>
                    <w:spacing w:line="240" w:lineRule="auto"/>
                    <w:rPr>
                      <w:rFonts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118"/>
                    <w:adjustRightInd w:val="0"/>
                    <w:snapToGrid w:val="0"/>
                    <w:spacing w:line="240" w:lineRule="auto"/>
                    <w:rPr>
                      <w:rFonts w:eastAsiaTheme="minorEastAsia"/>
                      <w:bCs/>
                      <w:sz w:val="21"/>
                      <w:szCs w:val="21"/>
                    </w:rPr>
                  </w:pPr>
                  <w:r>
                    <w:rPr>
                      <w:rFonts w:eastAsiaTheme="minorEastAsia"/>
                      <w:bCs/>
                      <w:sz w:val="21"/>
                      <w:szCs w:val="21"/>
                    </w:rPr>
                    <w:t>a指对应排放口需执行的国家或地方污染物排放标准以及其他按规定商定建设项目水污染物排放控制要求的协议，据此确定的排放浓度限值。</w:t>
                  </w:r>
                </w:p>
              </w:tc>
            </w:tr>
          </w:tbl>
          <w:p>
            <w:pPr>
              <w:pStyle w:val="118"/>
              <w:spacing w:line="240" w:lineRule="auto"/>
              <w:jc w:val="center"/>
              <w:rPr>
                <w:rFonts w:eastAsiaTheme="minorEastAsia"/>
                <w:b/>
                <w:sz w:val="21"/>
                <w:szCs w:val="21"/>
              </w:rPr>
            </w:pPr>
          </w:p>
          <w:p>
            <w:pPr>
              <w:pStyle w:val="118"/>
              <w:spacing w:line="240" w:lineRule="auto"/>
              <w:jc w:val="center"/>
              <w:rPr>
                <w:rFonts w:eastAsiaTheme="minorEastAsia"/>
                <w:b/>
                <w:sz w:val="21"/>
                <w:szCs w:val="21"/>
              </w:rPr>
            </w:pPr>
            <w:r>
              <w:rPr>
                <w:rFonts w:eastAsiaTheme="minorEastAsia"/>
                <w:b/>
                <w:sz w:val="21"/>
                <w:szCs w:val="21"/>
              </w:rPr>
              <w:t>表</w:t>
            </w:r>
            <w:r>
              <w:rPr>
                <w:rFonts w:eastAsiaTheme="minorEastAsia"/>
                <w:b/>
                <w:sz w:val="21"/>
                <w:szCs w:val="21"/>
              </w:rPr>
              <w:fldChar w:fldCharType="begin"/>
            </w:r>
            <w:r>
              <w:rPr>
                <w:rFonts w:eastAsiaTheme="minorEastAsia"/>
                <w:b/>
                <w:sz w:val="21"/>
                <w:szCs w:val="21"/>
              </w:rPr>
              <w:instrText xml:space="preserve"> STYLEREF 2 \s </w:instrText>
            </w:r>
            <w:r>
              <w:rPr>
                <w:rFonts w:eastAsiaTheme="minorEastAsia"/>
                <w:b/>
                <w:sz w:val="21"/>
                <w:szCs w:val="21"/>
              </w:rPr>
              <w:fldChar w:fldCharType="separate"/>
            </w:r>
            <w:r>
              <w:rPr>
                <w:rFonts w:eastAsiaTheme="minorEastAsia"/>
                <w:b/>
                <w:sz w:val="21"/>
                <w:szCs w:val="21"/>
              </w:rPr>
              <w:t>7.2</w:t>
            </w:r>
            <w:r>
              <w:rPr>
                <w:rFonts w:eastAsiaTheme="minorEastAsia"/>
                <w:b/>
                <w:sz w:val="21"/>
                <w:szCs w:val="21"/>
              </w:rPr>
              <w:fldChar w:fldCharType="end"/>
            </w:r>
            <w:r>
              <w:rPr>
                <w:rFonts w:eastAsiaTheme="minorEastAsia"/>
                <w:b/>
                <w:sz w:val="21"/>
                <w:szCs w:val="21"/>
              </w:rPr>
              <w:noBreakHyphen/>
            </w:r>
            <w:r>
              <w:rPr>
                <w:rFonts w:eastAsiaTheme="minorEastAsia"/>
                <w:b/>
                <w:sz w:val="21"/>
                <w:szCs w:val="21"/>
              </w:rPr>
              <w:fldChar w:fldCharType="begin"/>
            </w:r>
            <w:r>
              <w:rPr>
                <w:rFonts w:eastAsiaTheme="minorEastAsia"/>
                <w:b/>
                <w:sz w:val="21"/>
                <w:szCs w:val="21"/>
              </w:rPr>
              <w:instrText xml:space="preserve"> SEQ 表 \* ARABIC \s 2 </w:instrText>
            </w:r>
            <w:r>
              <w:rPr>
                <w:rFonts w:eastAsiaTheme="minorEastAsia"/>
                <w:b/>
                <w:sz w:val="21"/>
                <w:szCs w:val="21"/>
              </w:rPr>
              <w:fldChar w:fldCharType="separate"/>
            </w:r>
            <w:r>
              <w:rPr>
                <w:rFonts w:eastAsiaTheme="minorEastAsia"/>
                <w:b/>
                <w:sz w:val="21"/>
                <w:szCs w:val="21"/>
              </w:rPr>
              <w:t>4</w:t>
            </w:r>
            <w:r>
              <w:rPr>
                <w:rFonts w:eastAsiaTheme="minorEastAsia"/>
                <w:b/>
                <w:sz w:val="21"/>
                <w:szCs w:val="21"/>
              </w:rPr>
              <w:fldChar w:fldCharType="end"/>
            </w:r>
            <w:r>
              <w:rPr>
                <w:rFonts w:eastAsiaTheme="minorEastAsia"/>
                <w:b/>
                <w:sz w:val="21"/>
                <w:szCs w:val="21"/>
              </w:rPr>
              <w:t xml:space="preserve">  废水污染排放信息表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464"/>
              <w:gridCol w:w="1355"/>
              <w:gridCol w:w="1438"/>
              <w:gridCol w:w="1433"/>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序号</w:t>
                  </w:r>
                </w:p>
              </w:tc>
              <w:tc>
                <w:tcPr>
                  <w:tcW w:w="1464"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排放口编号</w:t>
                  </w:r>
                </w:p>
              </w:tc>
              <w:tc>
                <w:tcPr>
                  <w:tcW w:w="1355"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污染物种类</w:t>
                  </w:r>
                </w:p>
              </w:tc>
              <w:tc>
                <w:tcPr>
                  <w:tcW w:w="1438"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排放浓度/（mg/L）</w:t>
                  </w:r>
                </w:p>
              </w:tc>
              <w:tc>
                <w:tcPr>
                  <w:tcW w:w="143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日排放量/（t/d）</w:t>
                  </w:r>
                </w:p>
              </w:tc>
              <w:tc>
                <w:tcPr>
                  <w:tcW w:w="1459"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1</w:t>
                  </w:r>
                </w:p>
              </w:tc>
              <w:tc>
                <w:tcPr>
                  <w:tcW w:w="1464" w:type="dxa"/>
                  <w:vMerge w:val="restart"/>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color w:val="000000" w:themeColor="text1"/>
                      <w:sz w:val="21"/>
                      <w:szCs w:val="21"/>
                    </w:rPr>
                    <w:t>DW001</w:t>
                  </w:r>
                </w:p>
              </w:tc>
              <w:tc>
                <w:tcPr>
                  <w:tcW w:w="1355" w:type="dxa"/>
                  <w:vAlign w:val="center"/>
                </w:tcPr>
                <w:p>
                  <w:pPr>
                    <w:adjustRightInd w:val="0"/>
                    <w:snapToGrid w:val="0"/>
                    <w:jc w:val="center"/>
                    <w:rPr>
                      <w:rFonts w:cs="Times New Roman"/>
                      <w:color w:val="000000" w:themeColor="text1"/>
                      <w:sz w:val="21"/>
                    </w:rPr>
                  </w:pPr>
                  <w:r>
                    <w:rPr>
                      <w:rFonts w:cs="Times New Roman"/>
                      <w:color w:val="000000" w:themeColor="text1"/>
                      <w:sz w:val="21"/>
                    </w:rPr>
                    <w:t>COD</w:t>
                  </w:r>
                  <w:r>
                    <w:rPr>
                      <w:rFonts w:cs="Times New Roman"/>
                      <w:color w:val="000000" w:themeColor="text1"/>
                      <w:sz w:val="21"/>
                      <w:vertAlign w:val="subscript"/>
                    </w:rPr>
                    <w:t>cr</w:t>
                  </w:r>
                </w:p>
              </w:tc>
              <w:tc>
                <w:tcPr>
                  <w:tcW w:w="1438" w:type="dxa"/>
                  <w:vAlign w:val="center"/>
                </w:tcPr>
                <w:p>
                  <w:pPr>
                    <w:pStyle w:val="118"/>
                    <w:adjustRightInd w:val="0"/>
                    <w:snapToGrid w:val="0"/>
                    <w:spacing w:line="240" w:lineRule="auto"/>
                    <w:ind w:firstLine="0"/>
                    <w:jc w:val="center"/>
                    <w:rPr>
                      <w:rFonts w:hint="default" w:eastAsiaTheme="minorEastAsia"/>
                      <w:bCs/>
                      <w:color w:val="000000" w:themeColor="text1"/>
                      <w:sz w:val="21"/>
                      <w:szCs w:val="21"/>
                      <w:lang w:val="en-US"/>
                    </w:rPr>
                  </w:pPr>
                  <w:r>
                    <w:rPr>
                      <w:rFonts w:hint="eastAsia" w:eastAsiaTheme="minorEastAsia"/>
                      <w:bCs/>
                      <w:color w:val="000000" w:themeColor="text1"/>
                      <w:sz w:val="21"/>
                      <w:szCs w:val="21"/>
                      <w:lang w:val="en-US" w:eastAsia="zh-CN"/>
                    </w:rPr>
                    <w:t>300</w:t>
                  </w:r>
                </w:p>
              </w:tc>
              <w:tc>
                <w:tcPr>
                  <w:tcW w:w="143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hint="eastAsia" w:eastAsiaTheme="minorEastAsia"/>
                      <w:bCs/>
                      <w:color w:val="000000" w:themeColor="text1"/>
                      <w:sz w:val="21"/>
                      <w:szCs w:val="21"/>
                      <w:lang w:val="en-US" w:eastAsia="zh-CN"/>
                    </w:rPr>
                    <w:t>0.0009</w:t>
                  </w:r>
                  <w:r>
                    <w:rPr>
                      <w:rFonts w:eastAsiaTheme="minorEastAsia"/>
                      <w:bCs/>
                      <w:color w:val="000000" w:themeColor="text1"/>
                      <w:sz w:val="21"/>
                      <w:szCs w:val="21"/>
                    </w:rPr>
                    <w:t>t/a</w:t>
                  </w:r>
                </w:p>
              </w:tc>
              <w:tc>
                <w:tcPr>
                  <w:tcW w:w="1459" w:type="dxa"/>
                  <w:vAlign w:val="center"/>
                </w:tcPr>
                <w:p>
                  <w:pPr>
                    <w:pStyle w:val="118"/>
                    <w:adjustRightInd w:val="0"/>
                    <w:snapToGrid w:val="0"/>
                    <w:spacing w:line="240" w:lineRule="auto"/>
                    <w:jc w:val="left"/>
                    <w:rPr>
                      <w:rFonts w:eastAsiaTheme="minorEastAsia"/>
                      <w:bCs/>
                      <w:color w:val="000000" w:themeColor="text1"/>
                      <w:sz w:val="21"/>
                      <w:szCs w:val="21"/>
                    </w:rPr>
                  </w:pPr>
                  <w:r>
                    <w:rPr>
                      <w:rFonts w:hint="eastAsia" w:eastAsiaTheme="minorEastAsia"/>
                      <w:bCs/>
                      <w:color w:val="000000" w:themeColor="text1"/>
                      <w:sz w:val="21"/>
                      <w:szCs w:val="21"/>
                      <w:lang w:val="en-US" w:eastAsia="zh-CN"/>
                    </w:rPr>
                    <w:t>0.32</w:t>
                  </w:r>
                  <w:r>
                    <w:rPr>
                      <w:rFonts w:eastAsiaTheme="minorEastAsia"/>
                      <w:bCs/>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2</w:t>
                  </w:r>
                </w:p>
              </w:tc>
              <w:tc>
                <w:tcPr>
                  <w:tcW w:w="1464" w:type="dxa"/>
                  <w:vMerge w:val="continue"/>
                  <w:vAlign w:val="center"/>
                </w:tcPr>
                <w:p>
                  <w:pPr>
                    <w:pStyle w:val="118"/>
                    <w:adjustRightInd w:val="0"/>
                    <w:snapToGrid w:val="0"/>
                    <w:spacing w:line="240" w:lineRule="auto"/>
                    <w:jc w:val="center"/>
                    <w:rPr>
                      <w:rFonts w:eastAsiaTheme="minorEastAsia"/>
                      <w:bCs/>
                      <w:color w:val="000000" w:themeColor="text1"/>
                      <w:sz w:val="21"/>
                      <w:szCs w:val="21"/>
                    </w:rPr>
                  </w:pPr>
                </w:p>
              </w:tc>
              <w:tc>
                <w:tcPr>
                  <w:tcW w:w="1355" w:type="dxa"/>
                  <w:vAlign w:val="center"/>
                </w:tcPr>
                <w:p>
                  <w:pPr>
                    <w:adjustRightInd w:val="0"/>
                    <w:snapToGrid w:val="0"/>
                    <w:jc w:val="center"/>
                    <w:rPr>
                      <w:rFonts w:cs="Times New Roman"/>
                      <w:color w:val="000000" w:themeColor="text1"/>
                      <w:sz w:val="21"/>
                    </w:rPr>
                  </w:pPr>
                  <w:r>
                    <w:rPr>
                      <w:rFonts w:cs="Times New Roman"/>
                      <w:color w:val="000000" w:themeColor="text1"/>
                      <w:sz w:val="21"/>
                    </w:rPr>
                    <w:t>NH</w:t>
                  </w:r>
                  <w:r>
                    <w:rPr>
                      <w:rFonts w:cs="Times New Roman"/>
                      <w:color w:val="000000" w:themeColor="text1"/>
                      <w:sz w:val="21"/>
                      <w:vertAlign w:val="subscript"/>
                    </w:rPr>
                    <w:t>3</w:t>
                  </w:r>
                  <w:r>
                    <w:rPr>
                      <w:rFonts w:cs="Times New Roman"/>
                      <w:color w:val="000000" w:themeColor="text1"/>
                      <w:sz w:val="21"/>
                    </w:rPr>
                    <w:t>-N</w:t>
                  </w:r>
                </w:p>
              </w:tc>
              <w:tc>
                <w:tcPr>
                  <w:tcW w:w="1438" w:type="dxa"/>
                  <w:vAlign w:val="center"/>
                </w:tcPr>
                <w:p>
                  <w:pPr>
                    <w:pStyle w:val="118"/>
                    <w:adjustRightInd w:val="0"/>
                    <w:snapToGrid w:val="0"/>
                    <w:spacing w:line="240" w:lineRule="auto"/>
                    <w:ind w:firstLine="0"/>
                    <w:jc w:val="center"/>
                    <w:rPr>
                      <w:rFonts w:hint="eastAsia" w:eastAsiaTheme="minorEastAsia"/>
                      <w:bCs/>
                      <w:color w:val="000000" w:themeColor="text1"/>
                      <w:sz w:val="21"/>
                      <w:szCs w:val="21"/>
                      <w:lang w:eastAsia="zh-CN"/>
                    </w:rPr>
                  </w:pPr>
                  <w:r>
                    <w:rPr>
                      <w:rFonts w:eastAsiaTheme="minorEastAsia"/>
                      <w:bCs/>
                      <w:color w:val="000000" w:themeColor="text1"/>
                      <w:sz w:val="21"/>
                      <w:szCs w:val="21"/>
                    </w:rPr>
                    <w:t>3</w:t>
                  </w:r>
                  <w:r>
                    <w:rPr>
                      <w:rFonts w:hint="eastAsia" w:eastAsiaTheme="minorEastAsia"/>
                      <w:bCs/>
                      <w:color w:val="000000" w:themeColor="text1"/>
                      <w:sz w:val="21"/>
                      <w:szCs w:val="21"/>
                      <w:lang w:val="en-US" w:eastAsia="zh-CN"/>
                    </w:rPr>
                    <w:t>0</w:t>
                  </w:r>
                </w:p>
              </w:tc>
              <w:tc>
                <w:tcPr>
                  <w:tcW w:w="143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hint="eastAsia" w:eastAsiaTheme="minorEastAsia"/>
                      <w:bCs/>
                      <w:color w:val="000000" w:themeColor="text1"/>
                      <w:sz w:val="21"/>
                      <w:szCs w:val="21"/>
                      <w:lang w:val="en-US" w:eastAsia="zh-CN"/>
                    </w:rPr>
                    <w:t>0.00009</w:t>
                  </w:r>
                  <w:r>
                    <w:rPr>
                      <w:rFonts w:eastAsiaTheme="minorEastAsia"/>
                      <w:bCs/>
                      <w:color w:val="000000" w:themeColor="text1"/>
                      <w:sz w:val="21"/>
                      <w:szCs w:val="21"/>
                    </w:rPr>
                    <w:t>t/a</w:t>
                  </w:r>
                </w:p>
              </w:tc>
              <w:tc>
                <w:tcPr>
                  <w:tcW w:w="1459" w:type="dxa"/>
                  <w:vAlign w:val="center"/>
                </w:tcPr>
                <w:p>
                  <w:pPr>
                    <w:pStyle w:val="118"/>
                    <w:adjustRightInd w:val="0"/>
                    <w:snapToGrid w:val="0"/>
                    <w:spacing w:line="240" w:lineRule="auto"/>
                    <w:jc w:val="left"/>
                    <w:rPr>
                      <w:rFonts w:eastAsiaTheme="minorEastAsia"/>
                      <w:bCs/>
                      <w:color w:val="000000" w:themeColor="text1"/>
                      <w:sz w:val="21"/>
                      <w:szCs w:val="21"/>
                    </w:rPr>
                  </w:pPr>
                  <w:r>
                    <w:rPr>
                      <w:rFonts w:hint="eastAsia" w:eastAsiaTheme="minorEastAsia"/>
                      <w:bCs/>
                      <w:color w:val="000000" w:themeColor="text1"/>
                      <w:sz w:val="21"/>
                      <w:szCs w:val="21"/>
                    </w:rPr>
                    <w:t>0.0</w:t>
                  </w:r>
                  <w:r>
                    <w:rPr>
                      <w:rFonts w:hint="eastAsia" w:eastAsiaTheme="minorEastAsia"/>
                      <w:bCs/>
                      <w:color w:val="000000" w:themeColor="text1"/>
                      <w:sz w:val="21"/>
                      <w:szCs w:val="21"/>
                      <w:lang w:val="en-US" w:eastAsia="zh-CN"/>
                    </w:rPr>
                    <w:t>3</w:t>
                  </w:r>
                  <w:r>
                    <w:rPr>
                      <w:rFonts w:eastAsiaTheme="minorEastAsia"/>
                      <w:bCs/>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3</w:t>
                  </w:r>
                </w:p>
              </w:tc>
              <w:tc>
                <w:tcPr>
                  <w:tcW w:w="1464" w:type="dxa"/>
                  <w:vMerge w:val="continue"/>
                  <w:vAlign w:val="center"/>
                </w:tcPr>
                <w:p>
                  <w:pPr>
                    <w:pStyle w:val="118"/>
                    <w:adjustRightInd w:val="0"/>
                    <w:snapToGrid w:val="0"/>
                    <w:spacing w:line="240" w:lineRule="auto"/>
                    <w:jc w:val="center"/>
                    <w:rPr>
                      <w:rFonts w:eastAsiaTheme="minorEastAsia"/>
                      <w:bCs/>
                      <w:color w:val="000000" w:themeColor="text1"/>
                      <w:sz w:val="21"/>
                      <w:szCs w:val="21"/>
                    </w:rPr>
                  </w:pPr>
                </w:p>
              </w:tc>
              <w:tc>
                <w:tcPr>
                  <w:tcW w:w="1355" w:type="dxa"/>
                  <w:vAlign w:val="center"/>
                </w:tcPr>
                <w:p>
                  <w:pPr>
                    <w:adjustRightInd w:val="0"/>
                    <w:snapToGrid w:val="0"/>
                    <w:jc w:val="center"/>
                    <w:rPr>
                      <w:rFonts w:cs="Times New Roman"/>
                      <w:color w:val="000000" w:themeColor="text1"/>
                      <w:sz w:val="21"/>
                    </w:rPr>
                  </w:pPr>
                  <w:r>
                    <w:rPr>
                      <w:rFonts w:cs="Times New Roman"/>
                      <w:bCs/>
                      <w:color w:val="000000" w:themeColor="text1"/>
                      <w:sz w:val="21"/>
                    </w:rPr>
                    <w:t>BOD</w:t>
                  </w:r>
                  <w:r>
                    <w:rPr>
                      <w:rFonts w:cs="Times New Roman"/>
                      <w:bCs/>
                      <w:color w:val="000000" w:themeColor="text1"/>
                      <w:sz w:val="21"/>
                      <w:vertAlign w:val="subscript"/>
                    </w:rPr>
                    <w:t>5</w:t>
                  </w:r>
                </w:p>
              </w:tc>
              <w:tc>
                <w:tcPr>
                  <w:tcW w:w="1438" w:type="dxa"/>
                  <w:vAlign w:val="center"/>
                </w:tcPr>
                <w:p>
                  <w:pPr>
                    <w:pStyle w:val="118"/>
                    <w:adjustRightInd w:val="0"/>
                    <w:snapToGrid w:val="0"/>
                    <w:spacing w:line="240" w:lineRule="auto"/>
                    <w:ind w:firstLine="0"/>
                    <w:jc w:val="center"/>
                    <w:rPr>
                      <w:rFonts w:hint="default" w:eastAsiaTheme="minorEastAsia"/>
                      <w:bCs/>
                      <w:color w:val="000000" w:themeColor="text1"/>
                      <w:sz w:val="21"/>
                      <w:szCs w:val="21"/>
                      <w:lang w:val="en-US" w:eastAsia="zh-CN"/>
                    </w:rPr>
                  </w:pPr>
                  <w:r>
                    <w:rPr>
                      <w:rFonts w:hint="eastAsia" w:eastAsiaTheme="minorEastAsia"/>
                      <w:bCs/>
                      <w:color w:val="000000"/>
                      <w:sz w:val="21"/>
                      <w:szCs w:val="21"/>
                      <w:lang w:val="en-US" w:eastAsia="zh-CN"/>
                    </w:rPr>
                    <w:t>150</w:t>
                  </w:r>
                </w:p>
              </w:tc>
              <w:tc>
                <w:tcPr>
                  <w:tcW w:w="143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hint="eastAsia" w:eastAsiaTheme="minorEastAsia"/>
                      <w:bCs/>
                      <w:color w:val="000000" w:themeColor="text1"/>
                      <w:sz w:val="21"/>
                      <w:szCs w:val="21"/>
                      <w:lang w:val="en-US" w:eastAsia="zh-CN"/>
                    </w:rPr>
                    <w:t>0.0005</w:t>
                  </w:r>
                  <w:r>
                    <w:rPr>
                      <w:rFonts w:eastAsiaTheme="minorEastAsia"/>
                      <w:bCs/>
                      <w:color w:val="000000" w:themeColor="text1"/>
                      <w:sz w:val="21"/>
                      <w:szCs w:val="21"/>
                    </w:rPr>
                    <w:t>t/a</w:t>
                  </w:r>
                </w:p>
              </w:tc>
              <w:tc>
                <w:tcPr>
                  <w:tcW w:w="1459" w:type="dxa"/>
                  <w:vAlign w:val="center"/>
                </w:tcPr>
                <w:p>
                  <w:pPr>
                    <w:pStyle w:val="118"/>
                    <w:adjustRightInd w:val="0"/>
                    <w:snapToGrid w:val="0"/>
                    <w:spacing w:line="240" w:lineRule="auto"/>
                    <w:jc w:val="left"/>
                    <w:rPr>
                      <w:rFonts w:eastAsiaTheme="minorEastAsia"/>
                      <w:bCs/>
                      <w:color w:val="000000" w:themeColor="text1"/>
                      <w:sz w:val="21"/>
                      <w:szCs w:val="21"/>
                    </w:rPr>
                  </w:pPr>
                  <w:r>
                    <w:rPr>
                      <w:rFonts w:hint="eastAsia" w:eastAsiaTheme="minorEastAsia"/>
                      <w:bCs/>
                      <w:color w:val="000000" w:themeColor="text1"/>
                      <w:sz w:val="21"/>
                      <w:szCs w:val="21"/>
                      <w:lang w:val="en-US" w:eastAsia="zh-CN"/>
                    </w:rPr>
                    <w:t>0.16</w:t>
                  </w:r>
                  <w:r>
                    <w:rPr>
                      <w:rFonts w:eastAsiaTheme="minorEastAsia"/>
                      <w:bCs/>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eastAsiaTheme="minorEastAsia"/>
                      <w:bCs/>
                      <w:color w:val="000000" w:themeColor="text1"/>
                      <w:sz w:val="21"/>
                      <w:szCs w:val="21"/>
                    </w:rPr>
                    <w:t>4</w:t>
                  </w:r>
                </w:p>
              </w:tc>
              <w:tc>
                <w:tcPr>
                  <w:tcW w:w="1464" w:type="dxa"/>
                  <w:vMerge w:val="continue"/>
                  <w:vAlign w:val="center"/>
                </w:tcPr>
                <w:p>
                  <w:pPr>
                    <w:pStyle w:val="118"/>
                    <w:adjustRightInd w:val="0"/>
                    <w:snapToGrid w:val="0"/>
                    <w:spacing w:line="240" w:lineRule="auto"/>
                    <w:jc w:val="center"/>
                    <w:rPr>
                      <w:rFonts w:eastAsiaTheme="minorEastAsia"/>
                      <w:bCs/>
                      <w:color w:val="000000" w:themeColor="text1"/>
                      <w:sz w:val="21"/>
                      <w:szCs w:val="21"/>
                    </w:rPr>
                  </w:pPr>
                </w:p>
              </w:tc>
              <w:tc>
                <w:tcPr>
                  <w:tcW w:w="1355" w:type="dxa"/>
                  <w:vAlign w:val="center"/>
                </w:tcPr>
                <w:p>
                  <w:pPr>
                    <w:adjustRightInd w:val="0"/>
                    <w:snapToGrid w:val="0"/>
                    <w:jc w:val="center"/>
                    <w:rPr>
                      <w:rFonts w:cs="Times New Roman"/>
                      <w:color w:val="000000" w:themeColor="text1"/>
                      <w:sz w:val="21"/>
                    </w:rPr>
                  </w:pPr>
                  <w:r>
                    <w:rPr>
                      <w:rFonts w:cs="Times New Roman"/>
                      <w:bCs/>
                      <w:color w:val="000000" w:themeColor="text1"/>
                      <w:sz w:val="21"/>
                    </w:rPr>
                    <w:t>SS</w:t>
                  </w:r>
                </w:p>
              </w:tc>
              <w:tc>
                <w:tcPr>
                  <w:tcW w:w="1438" w:type="dxa"/>
                  <w:vAlign w:val="center"/>
                </w:tcPr>
                <w:p>
                  <w:pPr>
                    <w:pStyle w:val="118"/>
                    <w:adjustRightInd w:val="0"/>
                    <w:snapToGrid w:val="0"/>
                    <w:spacing w:line="240" w:lineRule="auto"/>
                    <w:ind w:firstLine="0"/>
                    <w:jc w:val="center"/>
                    <w:rPr>
                      <w:rFonts w:hint="default" w:eastAsiaTheme="minorEastAsia"/>
                      <w:bCs/>
                      <w:color w:val="000000" w:themeColor="text1"/>
                      <w:sz w:val="21"/>
                      <w:szCs w:val="21"/>
                      <w:lang w:val="en-US" w:eastAsia="zh-CN"/>
                    </w:rPr>
                  </w:pPr>
                  <w:r>
                    <w:rPr>
                      <w:rFonts w:hint="eastAsia" w:eastAsiaTheme="minorEastAsia"/>
                      <w:bCs/>
                      <w:color w:val="000000"/>
                      <w:sz w:val="21"/>
                      <w:szCs w:val="21"/>
                      <w:lang w:val="en-US" w:eastAsia="zh-CN"/>
                    </w:rPr>
                    <w:t>150</w:t>
                  </w:r>
                </w:p>
              </w:tc>
              <w:tc>
                <w:tcPr>
                  <w:tcW w:w="1433" w:type="dxa"/>
                  <w:vAlign w:val="center"/>
                </w:tcPr>
                <w:p>
                  <w:pPr>
                    <w:pStyle w:val="118"/>
                    <w:adjustRightInd w:val="0"/>
                    <w:snapToGrid w:val="0"/>
                    <w:spacing w:line="240" w:lineRule="auto"/>
                    <w:ind w:firstLine="0"/>
                    <w:jc w:val="center"/>
                    <w:rPr>
                      <w:rFonts w:eastAsiaTheme="minorEastAsia"/>
                      <w:bCs/>
                      <w:color w:val="000000" w:themeColor="text1"/>
                      <w:sz w:val="21"/>
                      <w:szCs w:val="21"/>
                    </w:rPr>
                  </w:pPr>
                  <w:r>
                    <w:rPr>
                      <w:rFonts w:hint="eastAsia" w:eastAsiaTheme="minorEastAsia"/>
                      <w:bCs/>
                      <w:color w:val="000000" w:themeColor="text1"/>
                      <w:sz w:val="21"/>
                      <w:szCs w:val="21"/>
                      <w:lang w:val="en-US" w:eastAsia="zh-CN"/>
                    </w:rPr>
                    <w:t>0.0005</w:t>
                  </w:r>
                  <w:r>
                    <w:rPr>
                      <w:rFonts w:eastAsiaTheme="minorEastAsia"/>
                      <w:bCs/>
                      <w:color w:val="000000" w:themeColor="text1"/>
                      <w:sz w:val="21"/>
                      <w:szCs w:val="21"/>
                    </w:rPr>
                    <w:t>t/a</w:t>
                  </w:r>
                </w:p>
              </w:tc>
              <w:tc>
                <w:tcPr>
                  <w:tcW w:w="1459" w:type="dxa"/>
                  <w:vAlign w:val="center"/>
                </w:tcPr>
                <w:p>
                  <w:pPr>
                    <w:pStyle w:val="118"/>
                    <w:adjustRightInd w:val="0"/>
                    <w:snapToGrid w:val="0"/>
                    <w:spacing w:line="240" w:lineRule="auto"/>
                    <w:jc w:val="left"/>
                    <w:rPr>
                      <w:rFonts w:eastAsiaTheme="minorEastAsia"/>
                      <w:bCs/>
                      <w:color w:val="000000" w:themeColor="text1"/>
                      <w:sz w:val="21"/>
                      <w:szCs w:val="21"/>
                    </w:rPr>
                  </w:pPr>
                  <w:r>
                    <w:rPr>
                      <w:rFonts w:hint="eastAsia" w:eastAsiaTheme="minorEastAsia"/>
                      <w:bCs/>
                      <w:color w:val="000000" w:themeColor="text1"/>
                      <w:sz w:val="21"/>
                      <w:szCs w:val="21"/>
                      <w:lang w:val="en-US" w:eastAsia="zh-CN"/>
                    </w:rPr>
                    <w:t>0.16</w:t>
                  </w:r>
                  <w:r>
                    <w:rPr>
                      <w:rFonts w:eastAsiaTheme="minorEastAsia"/>
                      <w:bCs/>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gridSpan w:val="2"/>
                  <w:vMerge w:val="restart"/>
                  <w:vAlign w:val="center"/>
                </w:tcPr>
                <w:p>
                  <w:pPr>
                    <w:pStyle w:val="118"/>
                    <w:adjustRightInd w:val="0"/>
                    <w:snapToGrid w:val="0"/>
                    <w:spacing w:line="240" w:lineRule="auto"/>
                    <w:jc w:val="center"/>
                    <w:rPr>
                      <w:rFonts w:eastAsiaTheme="minorEastAsia"/>
                      <w:bCs/>
                      <w:color w:val="000000" w:themeColor="text1"/>
                      <w:sz w:val="21"/>
                      <w:szCs w:val="21"/>
                    </w:rPr>
                  </w:pPr>
                  <w:r>
                    <w:rPr>
                      <w:rFonts w:eastAsiaTheme="minorEastAsia"/>
                      <w:bCs/>
                      <w:color w:val="000000" w:themeColor="text1"/>
                      <w:sz w:val="21"/>
                      <w:szCs w:val="21"/>
                    </w:rPr>
                    <w:t>全厂排放口合计</w:t>
                  </w:r>
                </w:p>
              </w:tc>
              <w:tc>
                <w:tcPr>
                  <w:tcW w:w="4226" w:type="dxa"/>
                  <w:gridSpan w:val="3"/>
                  <w:vAlign w:val="center"/>
                </w:tcPr>
                <w:p>
                  <w:pPr>
                    <w:adjustRightInd w:val="0"/>
                    <w:snapToGrid w:val="0"/>
                    <w:jc w:val="center"/>
                    <w:rPr>
                      <w:rFonts w:cs="Times New Roman"/>
                      <w:color w:val="000000" w:themeColor="text1"/>
                      <w:sz w:val="21"/>
                    </w:rPr>
                  </w:pPr>
                  <w:r>
                    <w:rPr>
                      <w:rFonts w:cs="Times New Roman"/>
                      <w:color w:val="000000" w:themeColor="text1"/>
                      <w:sz w:val="21"/>
                    </w:rPr>
                    <w:t>COD</w:t>
                  </w:r>
                  <w:r>
                    <w:rPr>
                      <w:rFonts w:cs="Times New Roman"/>
                      <w:color w:val="000000" w:themeColor="text1"/>
                      <w:sz w:val="21"/>
                      <w:vertAlign w:val="subscript"/>
                    </w:rPr>
                    <w:t>cr</w:t>
                  </w:r>
                </w:p>
              </w:tc>
              <w:tc>
                <w:tcPr>
                  <w:tcW w:w="1459" w:type="dxa"/>
                  <w:vAlign w:val="center"/>
                </w:tcPr>
                <w:p>
                  <w:pPr>
                    <w:pStyle w:val="118"/>
                    <w:adjustRightInd w:val="0"/>
                    <w:snapToGrid w:val="0"/>
                    <w:spacing w:line="240" w:lineRule="auto"/>
                    <w:jc w:val="left"/>
                    <w:rPr>
                      <w:rFonts w:eastAsiaTheme="minorEastAsia"/>
                      <w:bCs/>
                      <w:color w:val="000000" w:themeColor="text1"/>
                      <w:sz w:val="21"/>
                      <w:szCs w:val="21"/>
                    </w:rPr>
                  </w:pPr>
                  <w:r>
                    <w:rPr>
                      <w:rFonts w:hint="eastAsia" w:eastAsiaTheme="minorEastAsia"/>
                      <w:bCs/>
                      <w:color w:val="000000" w:themeColor="text1"/>
                      <w:sz w:val="21"/>
                      <w:szCs w:val="21"/>
                      <w:lang w:val="en-US" w:eastAsia="zh-CN"/>
                    </w:rPr>
                    <w:t>0.32</w:t>
                  </w:r>
                  <w:r>
                    <w:rPr>
                      <w:rFonts w:eastAsiaTheme="minorEastAsia"/>
                      <w:bCs/>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gridSpan w:val="2"/>
                  <w:vMerge w:val="continue"/>
                  <w:vAlign w:val="center"/>
                </w:tcPr>
                <w:p>
                  <w:pPr>
                    <w:pStyle w:val="118"/>
                    <w:adjustRightInd w:val="0"/>
                    <w:snapToGrid w:val="0"/>
                    <w:spacing w:line="240" w:lineRule="auto"/>
                    <w:jc w:val="center"/>
                    <w:rPr>
                      <w:rFonts w:eastAsiaTheme="minorEastAsia"/>
                      <w:bCs/>
                      <w:color w:val="000000" w:themeColor="text1"/>
                      <w:sz w:val="21"/>
                      <w:szCs w:val="21"/>
                    </w:rPr>
                  </w:pPr>
                </w:p>
              </w:tc>
              <w:tc>
                <w:tcPr>
                  <w:tcW w:w="4226" w:type="dxa"/>
                  <w:gridSpan w:val="3"/>
                  <w:vAlign w:val="center"/>
                </w:tcPr>
                <w:p>
                  <w:pPr>
                    <w:adjustRightInd w:val="0"/>
                    <w:snapToGrid w:val="0"/>
                    <w:jc w:val="center"/>
                    <w:rPr>
                      <w:rFonts w:cs="Times New Roman"/>
                      <w:color w:val="000000" w:themeColor="text1"/>
                      <w:sz w:val="21"/>
                    </w:rPr>
                  </w:pPr>
                  <w:r>
                    <w:rPr>
                      <w:rFonts w:cs="Times New Roman"/>
                      <w:color w:val="000000" w:themeColor="text1"/>
                      <w:sz w:val="21"/>
                    </w:rPr>
                    <w:t>NH</w:t>
                  </w:r>
                  <w:r>
                    <w:rPr>
                      <w:rFonts w:cs="Times New Roman"/>
                      <w:color w:val="000000" w:themeColor="text1"/>
                      <w:sz w:val="21"/>
                      <w:vertAlign w:val="subscript"/>
                    </w:rPr>
                    <w:t>3</w:t>
                  </w:r>
                  <w:r>
                    <w:rPr>
                      <w:rFonts w:cs="Times New Roman"/>
                      <w:color w:val="000000" w:themeColor="text1"/>
                      <w:sz w:val="21"/>
                    </w:rPr>
                    <w:t>-N</w:t>
                  </w:r>
                </w:p>
              </w:tc>
              <w:tc>
                <w:tcPr>
                  <w:tcW w:w="1459" w:type="dxa"/>
                  <w:vAlign w:val="center"/>
                </w:tcPr>
                <w:p>
                  <w:pPr>
                    <w:pStyle w:val="118"/>
                    <w:adjustRightInd w:val="0"/>
                    <w:snapToGrid w:val="0"/>
                    <w:spacing w:line="240" w:lineRule="auto"/>
                    <w:jc w:val="left"/>
                    <w:rPr>
                      <w:rFonts w:eastAsiaTheme="minorEastAsia"/>
                      <w:bCs/>
                      <w:color w:val="000000" w:themeColor="text1"/>
                      <w:sz w:val="21"/>
                      <w:szCs w:val="21"/>
                    </w:rPr>
                  </w:pPr>
                  <w:r>
                    <w:rPr>
                      <w:rFonts w:hint="eastAsia" w:eastAsiaTheme="minorEastAsia"/>
                      <w:bCs/>
                      <w:color w:val="000000" w:themeColor="text1"/>
                      <w:sz w:val="21"/>
                      <w:szCs w:val="21"/>
                    </w:rPr>
                    <w:t>0.0</w:t>
                  </w:r>
                  <w:r>
                    <w:rPr>
                      <w:rFonts w:hint="eastAsia" w:eastAsiaTheme="minorEastAsia"/>
                      <w:bCs/>
                      <w:color w:val="000000" w:themeColor="text1"/>
                      <w:sz w:val="21"/>
                      <w:szCs w:val="21"/>
                      <w:lang w:val="en-US" w:eastAsia="zh-CN"/>
                    </w:rPr>
                    <w:t>3</w:t>
                  </w:r>
                  <w:r>
                    <w:rPr>
                      <w:rFonts w:eastAsiaTheme="minorEastAsia"/>
                      <w:bCs/>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gridSpan w:val="2"/>
                  <w:vMerge w:val="continue"/>
                  <w:vAlign w:val="center"/>
                </w:tcPr>
                <w:p>
                  <w:pPr>
                    <w:pStyle w:val="118"/>
                    <w:adjustRightInd w:val="0"/>
                    <w:snapToGrid w:val="0"/>
                    <w:spacing w:line="240" w:lineRule="auto"/>
                    <w:jc w:val="center"/>
                    <w:rPr>
                      <w:rFonts w:eastAsiaTheme="minorEastAsia"/>
                      <w:bCs/>
                      <w:color w:val="000000" w:themeColor="text1"/>
                      <w:sz w:val="21"/>
                      <w:szCs w:val="21"/>
                    </w:rPr>
                  </w:pPr>
                </w:p>
              </w:tc>
              <w:tc>
                <w:tcPr>
                  <w:tcW w:w="4226" w:type="dxa"/>
                  <w:gridSpan w:val="3"/>
                  <w:vAlign w:val="center"/>
                </w:tcPr>
                <w:p>
                  <w:pPr>
                    <w:adjustRightInd w:val="0"/>
                    <w:snapToGrid w:val="0"/>
                    <w:jc w:val="center"/>
                    <w:rPr>
                      <w:rFonts w:cs="Times New Roman"/>
                      <w:color w:val="000000" w:themeColor="text1"/>
                      <w:sz w:val="21"/>
                    </w:rPr>
                  </w:pPr>
                  <w:r>
                    <w:rPr>
                      <w:rFonts w:cs="Times New Roman"/>
                      <w:bCs/>
                      <w:color w:val="000000" w:themeColor="text1"/>
                      <w:sz w:val="21"/>
                    </w:rPr>
                    <w:t>BOD</w:t>
                  </w:r>
                  <w:r>
                    <w:rPr>
                      <w:rFonts w:cs="Times New Roman"/>
                      <w:bCs/>
                      <w:color w:val="000000" w:themeColor="text1"/>
                      <w:sz w:val="21"/>
                      <w:vertAlign w:val="subscript"/>
                    </w:rPr>
                    <w:t>5</w:t>
                  </w:r>
                </w:p>
              </w:tc>
              <w:tc>
                <w:tcPr>
                  <w:tcW w:w="1459" w:type="dxa"/>
                  <w:vAlign w:val="center"/>
                </w:tcPr>
                <w:p>
                  <w:pPr>
                    <w:pStyle w:val="118"/>
                    <w:adjustRightInd w:val="0"/>
                    <w:snapToGrid w:val="0"/>
                    <w:spacing w:line="240" w:lineRule="auto"/>
                    <w:jc w:val="left"/>
                    <w:rPr>
                      <w:rFonts w:eastAsiaTheme="minorEastAsia"/>
                      <w:bCs/>
                      <w:color w:val="000000" w:themeColor="text1"/>
                      <w:sz w:val="21"/>
                      <w:szCs w:val="21"/>
                    </w:rPr>
                  </w:pPr>
                  <w:r>
                    <w:rPr>
                      <w:rFonts w:hint="eastAsia" w:eastAsiaTheme="minorEastAsia"/>
                      <w:bCs/>
                      <w:color w:val="000000" w:themeColor="text1"/>
                      <w:sz w:val="21"/>
                      <w:szCs w:val="21"/>
                      <w:lang w:val="en-US" w:eastAsia="zh-CN"/>
                    </w:rPr>
                    <w:t>0.16</w:t>
                  </w:r>
                  <w:r>
                    <w:rPr>
                      <w:rFonts w:eastAsiaTheme="minorEastAsia"/>
                      <w:bCs/>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gridSpan w:val="2"/>
                  <w:vMerge w:val="continue"/>
                  <w:vAlign w:val="center"/>
                </w:tcPr>
                <w:p>
                  <w:pPr>
                    <w:pStyle w:val="118"/>
                    <w:adjustRightInd w:val="0"/>
                    <w:snapToGrid w:val="0"/>
                    <w:spacing w:line="240" w:lineRule="auto"/>
                    <w:jc w:val="center"/>
                    <w:rPr>
                      <w:rFonts w:eastAsiaTheme="minorEastAsia"/>
                      <w:bCs/>
                      <w:color w:val="000000" w:themeColor="text1"/>
                      <w:sz w:val="21"/>
                      <w:szCs w:val="21"/>
                    </w:rPr>
                  </w:pPr>
                </w:p>
              </w:tc>
              <w:tc>
                <w:tcPr>
                  <w:tcW w:w="4226" w:type="dxa"/>
                  <w:gridSpan w:val="3"/>
                  <w:vAlign w:val="center"/>
                </w:tcPr>
                <w:p>
                  <w:pPr>
                    <w:adjustRightInd w:val="0"/>
                    <w:snapToGrid w:val="0"/>
                    <w:jc w:val="center"/>
                    <w:rPr>
                      <w:rFonts w:cs="Times New Roman"/>
                      <w:color w:val="000000" w:themeColor="text1"/>
                      <w:sz w:val="21"/>
                    </w:rPr>
                  </w:pPr>
                  <w:r>
                    <w:rPr>
                      <w:rFonts w:cs="Times New Roman"/>
                      <w:bCs/>
                      <w:color w:val="000000" w:themeColor="text1"/>
                      <w:sz w:val="21"/>
                    </w:rPr>
                    <w:t>SS</w:t>
                  </w:r>
                </w:p>
              </w:tc>
              <w:tc>
                <w:tcPr>
                  <w:tcW w:w="1459" w:type="dxa"/>
                  <w:vAlign w:val="center"/>
                </w:tcPr>
                <w:p>
                  <w:pPr>
                    <w:pStyle w:val="118"/>
                    <w:adjustRightInd w:val="0"/>
                    <w:snapToGrid w:val="0"/>
                    <w:spacing w:line="240" w:lineRule="auto"/>
                    <w:jc w:val="left"/>
                    <w:rPr>
                      <w:rFonts w:eastAsiaTheme="minorEastAsia"/>
                      <w:bCs/>
                      <w:color w:val="000000" w:themeColor="text1"/>
                      <w:sz w:val="21"/>
                      <w:szCs w:val="21"/>
                    </w:rPr>
                  </w:pPr>
                  <w:r>
                    <w:rPr>
                      <w:rFonts w:hint="eastAsia" w:eastAsiaTheme="minorEastAsia"/>
                      <w:bCs/>
                      <w:color w:val="000000" w:themeColor="text1"/>
                      <w:sz w:val="21"/>
                      <w:szCs w:val="21"/>
                      <w:lang w:val="en-US" w:eastAsia="zh-CN"/>
                    </w:rPr>
                    <w:t>0.16</w:t>
                  </w:r>
                  <w:r>
                    <w:rPr>
                      <w:rFonts w:eastAsiaTheme="minorEastAsia"/>
                      <w:bCs/>
                      <w:color w:val="000000" w:themeColor="text1"/>
                      <w:sz w:val="21"/>
                      <w:szCs w:val="21"/>
                    </w:rPr>
                    <w:t>t/a</w:t>
                  </w:r>
                </w:p>
              </w:tc>
            </w:tr>
          </w:tbl>
          <w:p>
            <w:pPr>
              <w:pStyle w:val="7"/>
              <w:rPr>
                <w:rFonts w:cs="Times New Roman" w:eastAsiaTheme="minorEastAsia"/>
              </w:rPr>
            </w:pPr>
            <w:r>
              <w:rPr>
                <w:rFonts w:cs="Times New Roman" w:eastAsiaTheme="minorEastAsia"/>
              </w:rPr>
              <w:t>营运期大气环境影响分析</w:t>
            </w:r>
          </w:p>
          <w:p>
            <w:pPr>
              <w:pStyle w:val="8"/>
            </w:pPr>
            <w:r>
              <w:t>大气环境影响分析</w:t>
            </w:r>
          </w:p>
          <w:p>
            <w:pPr>
              <w:spacing w:line="360" w:lineRule="auto"/>
              <w:ind w:firstLine="480" w:firstLineChars="200"/>
              <w:rPr>
                <w:rFonts w:cs="Times New Roman"/>
              </w:rPr>
            </w:pPr>
            <w:r>
              <w:rPr>
                <w:rFonts w:cs="Times New Roman"/>
              </w:rPr>
              <w:t>本项目营运期产生的废气主要来自各个生产线混凝土搅拌过程中的搅拌粉尘、原料筒仓的呼吸粉尘、原料堆场的粉尘、装卸料产生的粉尘、食堂油烟和运输扬尘及汽车尾气等。</w:t>
            </w:r>
          </w:p>
          <w:p>
            <w:pPr>
              <w:adjustRightInd w:val="0"/>
              <w:snapToGrid w:val="0"/>
              <w:spacing w:line="360" w:lineRule="auto"/>
              <w:ind w:firstLine="480" w:firstLineChars="200"/>
              <w:rPr>
                <w:rFonts w:cs="Times New Roman"/>
              </w:rPr>
            </w:pPr>
            <w:r>
              <w:rPr>
                <w:rFonts w:cs="Times New Roman"/>
              </w:rPr>
              <w:t>（1）评价因子</w:t>
            </w:r>
          </w:p>
          <w:p>
            <w:pPr>
              <w:adjustRightInd w:val="0"/>
              <w:snapToGrid w:val="0"/>
              <w:spacing w:line="360" w:lineRule="auto"/>
              <w:ind w:firstLine="480" w:firstLineChars="200"/>
              <w:rPr>
                <w:rFonts w:cs="Times New Roman"/>
              </w:rPr>
            </w:pPr>
            <w:r>
              <w:rPr>
                <w:rFonts w:cs="Times New Roman"/>
              </w:rPr>
              <w:t>采用《环境影响评价技术导则-大气环境》HJ2.2-2018推荐模式（AERSCREEN）进行估算，其计算结果作为预测与分析依据。根据本项目废气排放的特点，影响预测因子为TSP，评价因子和评价标准见下表所示。</w:t>
            </w:r>
          </w:p>
          <w:p>
            <w:pPr>
              <w:keepNext/>
              <w:ind w:firstLine="422" w:firstLineChars="200"/>
              <w:jc w:val="center"/>
              <w:rPr>
                <w:rFonts w:cs="Times New Roman"/>
                <w:b/>
                <w:sz w:val="21"/>
              </w:rPr>
            </w:pPr>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7.2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5</w:t>
            </w:r>
            <w:r>
              <w:rPr>
                <w:rFonts w:cs="Times New Roman"/>
                <w:b/>
                <w:sz w:val="21"/>
              </w:rPr>
              <w:fldChar w:fldCharType="end"/>
            </w:r>
            <w:r>
              <w:rPr>
                <w:rFonts w:cs="Times New Roman"/>
                <w:b/>
                <w:sz w:val="21"/>
              </w:rPr>
              <w:t xml:space="preserve">  评级因子和评价标准表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375"/>
              <w:gridCol w:w="1739"/>
              <w:gridCol w:w="4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评价因子</w:t>
                  </w:r>
                </w:p>
              </w:tc>
              <w:tc>
                <w:tcPr>
                  <w:tcW w:w="828"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平均时段</w:t>
                  </w:r>
                </w:p>
              </w:tc>
              <w:tc>
                <w:tcPr>
                  <w:tcW w:w="1047"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kern w:val="0"/>
                      <w:sz w:val="21"/>
                      <w:szCs w:val="21"/>
                    </w:rPr>
                    <w:t>标准值/（μg/m</w:t>
                  </w:r>
                  <w:r>
                    <w:rPr>
                      <w:rFonts w:cs="Times New Roman" w:eastAsiaTheme="minorEastAsia"/>
                      <w:b w:val="0"/>
                      <w:kern w:val="0"/>
                      <w:sz w:val="21"/>
                      <w:szCs w:val="21"/>
                      <w:vertAlign w:val="superscript"/>
                    </w:rPr>
                    <w:t>3</w:t>
                  </w:r>
                  <w:r>
                    <w:rPr>
                      <w:rFonts w:cs="Times New Roman" w:eastAsiaTheme="minorEastAsia"/>
                      <w:b w:val="0"/>
                      <w:kern w:val="0"/>
                      <w:sz w:val="21"/>
                      <w:szCs w:val="21"/>
                    </w:rPr>
                    <w:t>）</w:t>
                  </w:r>
                </w:p>
              </w:tc>
              <w:tc>
                <w:tcPr>
                  <w:tcW w:w="2416"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kern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PM</w:t>
                  </w:r>
                  <w:r>
                    <w:rPr>
                      <w:rFonts w:cs="Times New Roman" w:eastAsiaTheme="minorEastAsia"/>
                      <w:b w:val="0"/>
                      <w:sz w:val="21"/>
                      <w:szCs w:val="21"/>
                      <w:vertAlign w:val="subscript"/>
                    </w:rPr>
                    <w:t>10</w:t>
                  </w:r>
                </w:p>
              </w:tc>
              <w:tc>
                <w:tcPr>
                  <w:tcW w:w="828" w:type="pct"/>
                  <w:vAlign w:val="center"/>
                </w:tcPr>
                <w:p>
                  <w:pPr>
                    <w:pStyle w:val="15"/>
                    <w:adjustRightInd w:val="0"/>
                    <w:snapToGrid w:val="0"/>
                    <w:spacing w:line="240" w:lineRule="auto"/>
                    <w:rPr>
                      <w:rFonts w:cs="Times New Roman" w:eastAsiaTheme="minorEastAsia"/>
                      <w:b w:val="0"/>
                      <w:kern w:val="0"/>
                      <w:sz w:val="21"/>
                      <w:szCs w:val="21"/>
                    </w:rPr>
                  </w:pPr>
                  <w:r>
                    <w:rPr>
                      <w:rFonts w:cs="Times New Roman" w:eastAsiaTheme="minorEastAsia"/>
                      <w:b w:val="0"/>
                      <w:sz w:val="21"/>
                      <w:szCs w:val="21"/>
                    </w:rPr>
                    <w:t>24小时平均</w:t>
                  </w:r>
                </w:p>
              </w:tc>
              <w:tc>
                <w:tcPr>
                  <w:tcW w:w="1047"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kern w:val="0"/>
                      <w:sz w:val="21"/>
                      <w:szCs w:val="21"/>
                    </w:rPr>
                    <w:t>150</w:t>
                  </w:r>
                </w:p>
              </w:tc>
              <w:tc>
                <w:tcPr>
                  <w:tcW w:w="2416" w:type="pct"/>
                  <w:vMerge w:val="restart"/>
                  <w:vAlign w:val="center"/>
                </w:tcPr>
                <w:p>
                  <w:pPr>
                    <w:autoSpaceDE w:val="0"/>
                    <w:autoSpaceDN w:val="0"/>
                    <w:adjustRightInd w:val="0"/>
                    <w:snapToGrid w:val="0"/>
                    <w:jc w:val="center"/>
                    <w:rPr>
                      <w:rFonts w:cs="Times New Roman"/>
                      <w:kern w:val="0"/>
                      <w:sz w:val="21"/>
                    </w:rPr>
                  </w:pPr>
                  <w:r>
                    <w:rPr>
                      <w:rFonts w:cs="Times New Roman"/>
                      <w:kern w:val="0"/>
                      <w:sz w:val="21"/>
                    </w:rPr>
                    <w:t>《环境空气质量标准》（GB3095-2012）</w:t>
                  </w:r>
                </w:p>
                <w:p>
                  <w:pPr>
                    <w:pStyle w:val="15"/>
                    <w:adjustRightInd w:val="0"/>
                    <w:snapToGrid w:val="0"/>
                    <w:spacing w:line="240" w:lineRule="auto"/>
                    <w:rPr>
                      <w:rFonts w:cs="Times New Roman" w:eastAsiaTheme="minorEastAsia"/>
                      <w:b w:val="0"/>
                      <w:sz w:val="21"/>
                      <w:szCs w:val="21"/>
                    </w:rPr>
                  </w:pPr>
                  <w:r>
                    <w:rPr>
                      <w:rFonts w:cs="Times New Roman" w:eastAsiaTheme="minorEastAsia"/>
                      <w:b w:val="0"/>
                      <w:kern w:val="0"/>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TSP</w:t>
                  </w:r>
                </w:p>
              </w:tc>
              <w:tc>
                <w:tcPr>
                  <w:tcW w:w="828"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24小时平均</w:t>
                  </w:r>
                </w:p>
              </w:tc>
              <w:tc>
                <w:tcPr>
                  <w:tcW w:w="1047" w:type="pct"/>
                  <w:vAlign w:val="center"/>
                </w:tcPr>
                <w:p>
                  <w:pPr>
                    <w:pStyle w:val="15"/>
                    <w:adjustRightInd w:val="0"/>
                    <w:snapToGrid w:val="0"/>
                    <w:spacing w:line="240" w:lineRule="auto"/>
                    <w:rPr>
                      <w:rFonts w:cs="Times New Roman" w:eastAsiaTheme="minorEastAsia"/>
                      <w:b w:val="0"/>
                      <w:kern w:val="0"/>
                      <w:sz w:val="21"/>
                      <w:szCs w:val="21"/>
                    </w:rPr>
                  </w:pPr>
                  <w:r>
                    <w:rPr>
                      <w:rFonts w:cs="Times New Roman" w:eastAsiaTheme="minorEastAsia"/>
                      <w:b w:val="0"/>
                      <w:kern w:val="0"/>
                      <w:sz w:val="21"/>
                      <w:szCs w:val="21"/>
                    </w:rPr>
                    <w:t>300</w:t>
                  </w:r>
                </w:p>
              </w:tc>
              <w:tc>
                <w:tcPr>
                  <w:tcW w:w="2416" w:type="pct"/>
                  <w:vMerge w:val="continue"/>
                  <w:vAlign w:val="center"/>
                </w:tcPr>
                <w:p>
                  <w:pPr>
                    <w:autoSpaceDE w:val="0"/>
                    <w:autoSpaceDN w:val="0"/>
                    <w:adjustRightInd w:val="0"/>
                    <w:snapToGrid w:val="0"/>
                    <w:jc w:val="center"/>
                    <w:rPr>
                      <w:rFonts w:cs="Times New Roman"/>
                      <w:kern w:val="0"/>
                      <w:sz w:val="21"/>
                    </w:rPr>
                  </w:pPr>
                </w:p>
              </w:tc>
            </w:tr>
          </w:tbl>
          <w:p>
            <w:pPr>
              <w:adjustRightInd w:val="0"/>
              <w:snapToGrid w:val="0"/>
              <w:spacing w:line="360" w:lineRule="auto"/>
              <w:ind w:firstLine="480" w:firstLineChars="200"/>
              <w:rPr>
                <w:rFonts w:cs="Times New Roman"/>
              </w:rPr>
            </w:pPr>
            <w:r>
              <w:rPr>
                <w:rFonts w:cs="Times New Roman"/>
              </w:rPr>
              <w:t>（2）评价等级判定依据</w:t>
            </w:r>
          </w:p>
          <w:p>
            <w:pPr>
              <w:keepNext/>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根据《环境影响评价技术导则  大气环境》（HJ2.2-2018）关于大气环境影响评价等级的判定原则，运行导则附录A推荐模型估算模式进行预测，来确定大气环境影响评价等级，分别计算每个污染物的最大地面空气质量浓度占标率Pi（第i个污染物），及第i个污染物的地面空气质量浓度达标准值10%时所对应的最远距离D10%。其中Pi定义为</w:t>
            </w:r>
          </w:p>
          <w:p>
            <w:pPr>
              <w:pStyle w:val="131"/>
              <w:spacing w:before="0" w:line="360" w:lineRule="auto"/>
              <w:ind w:firstLine="480"/>
              <w:jc w:val="center"/>
              <w:rPr>
                <w:rFonts w:ascii="Times New Roman" w:hAnsi="Times New Roman" w:cs="Times New Roman"/>
                <w:color w:val="FF0000"/>
                <w:szCs w:val="24"/>
              </w:rPr>
            </w:pPr>
            <w:r>
              <w:rPr>
                <w:rFonts w:ascii="Times New Roman" w:hAnsi="Times New Roman" w:cs="Times New Roman"/>
                <w:color w:val="FF0000"/>
                <w:position w:val="-30"/>
                <w:szCs w:val="24"/>
              </w:rPr>
              <w:object>
                <v:shape id="_x0000_i1031" o:spt="75" type="#_x0000_t75" style="height:33.75pt;width:77.25pt;" o:ole="t" filled="f" o:preferrelative="t" stroked="f" coordsize="21600,21600">
                  <v:path/>
                  <v:fill on="f" focussize="0,0"/>
                  <v:stroke on="f" joinstyle="miter"/>
                  <v:imagedata r:id="rId26" o:title=""/>
                  <o:lock v:ext="edit" aspectratio="t"/>
                  <w10:wrap type="none"/>
                  <w10:anchorlock/>
                </v:shape>
                <o:OLEObject Type="Embed" ProgID="Equation.3" ShapeID="_x0000_i1031" DrawAspect="Content" ObjectID="_1468075731" r:id="rId25">
                  <o:LockedField>false</o:LockedField>
                </o:OLEObject>
              </w:object>
            </w:r>
          </w:p>
          <w:p>
            <w:pPr>
              <w:pStyle w:val="131"/>
              <w:spacing w:before="0" w:line="360" w:lineRule="auto"/>
              <w:ind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式中：P</w:t>
            </w:r>
            <w:r>
              <w:rPr>
                <w:rFonts w:ascii="Times New Roman" w:hAnsi="Times New Roman" w:cs="Times New Roman"/>
                <w:color w:val="000000" w:themeColor="text1"/>
                <w:szCs w:val="24"/>
                <w:vertAlign w:val="subscript"/>
              </w:rPr>
              <w:t>i</w:t>
            </w:r>
            <w:r>
              <w:rPr>
                <w:rFonts w:ascii="Times New Roman" w:hAnsi="Times New Roman" w:cs="Times New Roman"/>
                <w:color w:val="000000" w:themeColor="text1"/>
                <w:szCs w:val="24"/>
              </w:rPr>
              <w:t>——第i个污染物的最大地面浓度占标率，%；</w:t>
            </w:r>
          </w:p>
          <w:p>
            <w:pPr>
              <w:pStyle w:val="131"/>
              <w:spacing w:before="0" w:line="360" w:lineRule="auto"/>
              <w:ind w:left="2" w:firstLine="480"/>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      C</w:t>
            </w:r>
            <w:r>
              <w:rPr>
                <w:rFonts w:ascii="Times New Roman" w:hAnsi="Times New Roman" w:cs="Times New Roman"/>
                <w:color w:val="000000" w:themeColor="text1"/>
                <w:szCs w:val="24"/>
                <w:vertAlign w:val="subscript"/>
              </w:rPr>
              <w:t>i</w:t>
            </w:r>
            <w:r>
              <w:rPr>
                <w:rFonts w:ascii="Times New Roman" w:hAnsi="Times New Roman" w:cs="Times New Roman"/>
                <w:color w:val="000000" w:themeColor="text1"/>
                <w:szCs w:val="24"/>
              </w:rPr>
              <w:t>——采用估算模式计算出的第i个污染物的最大地面浓度，mg/m</w:t>
            </w:r>
            <w:r>
              <w:rPr>
                <w:rFonts w:ascii="Times New Roman" w:hAnsi="Times New Roman" w:cs="Times New Roman"/>
                <w:color w:val="000000" w:themeColor="text1"/>
                <w:szCs w:val="24"/>
                <w:vertAlign w:val="superscript"/>
              </w:rPr>
              <w:t>3</w:t>
            </w:r>
            <w:r>
              <w:rPr>
                <w:rFonts w:ascii="Times New Roman" w:hAnsi="Times New Roman" w:cs="Times New Roman"/>
                <w:color w:val="000000" w:themeColor="text1"/>
                <w:szCs w:val="24"/>
              </w:rPr>
              <w:t>；</w:t>
            </w:r>
          </w:p>
          <w:p>
            <w:pPr>
              <w:keepNext/>
              <w:autoSpaceDE w:val="0"/>
              <w:autoSpaceDN w:val="0"/>
              <w:adjustRightInd w:val="0"/>
              <w:snapToGrid w:val="0"/>
              <w:spacing w:line="360" w:lineRule="auto"/>
              <w:ind w:firstLine="480" w:firstLineChars="200"/>
              <w:jc w:val="left"/>
              <w:rPr>
                <w:rFonts w:cs="Times New Roman"/>
                <w:szCs w:val="24"/>
              </w:rPr>
            </w:pPr>
            <w:r>
              <w:rPr>
                <w:rFonts w:cs="Times New Roman"/>
                <w:color w:val="000000" w:themeColor="text1"/>
                <w:szCs w:val="24"/>
              </w:rPr>
              <w:t xml:space="preserve">      C</w:t>
            </w:r>
            <w:r>
              <w:rPr>
                <w:rFonts w:cs="Times New Roman"/>
                <w:color w:val="000000" w:themeColor="text1"/>
                <w:szCs w:val="24"/>
                <w:vertAlign w:val="subscript"/>
              </w:rPr>
              <w:t>0i</w:t>
            </w:r>
            <w:r>
              <w:rPr>
                <w:rFonts w:cs="Times New Roman"/>
                <w:color w:val="000000" w:themeColor="text1"/>
                <w:szCs w:val="24"/>
              </w:rPr>
              <w:t>——</w:t>
            </w:r>
            <w:r>
              <w:rPr>
                <w:rFonts w:cs="Times New Roman"/>
                <w:szCs w:val="24"/>
              </w:rPr>
              <w:t>第i 个污染物的环境空气质量标准，ug/m</w:t>
            </w:r>
            <w:r>
              <w:rPr>
                <w:rFonts w:cs="Times New Roman"/>
                <w:szCs w:val="24"/>
                <w:vertAlign w:val="superscript"/>
              </w:rPr>
              <w:t>3</w:t>
            </w:r>
            <w:r>
              <w:rPr>
                <w:rFonts w:cs="Times New Roman"/>
                <w:szCs w:val="24"/>
              </w:rPr>
              <w:t>。一般选用GB3095中1小时平均质量浓度的二级浓度限值，如项目位于一类环境空气功能区，应选择相应的一级浓度限值；对该标准未包含的污染物，使用5.2确定的各评价因子1h平均质量浓度限值。对仅有8h平均质量浓度限值、日平均质量浓度限值或年平均质量浓度限值的，可分别按2倍、3倍、6倍折算为1h平均质量浓度限值。</w:t>
            </w:r>
          </w:p>
          <w:p>
            <w:pPr>
              <w:keepNext/>
              <w:autoSpaceDE w:val="0"/>
              <w:autoSpaceDN w:val="0"/>
              <w:adjustRightInd w:val="0"/>
              <w:snapToGrid w:val="0"/>
              <w:spacing w:line="360" w:lineRule="auto"/>
              <w:ind w:firstLine="480" w:firstLineChars="200"/>
              <w:jc w:val="left"/>
              <w:rPr>
                <w:rFonts w:cs="Times New Roman"/>
                <w:color w:val="000000" w:themeColor="text1"/>
                <w:kern w:val="0"/>
                <w:szCs w:val="24"/>
              </w:rPr>
            </w:pPr>
            <w:r>
              <w:rPr>
                <w:rFonts w:cs="Times New Roman"/>
                <w:szCs w:val="24"/>
              </w:rPr>
              <w:t>评价工作等级按</w:t>
            </w:r>
            <w:r>
              <w:fldChar w:fldCharType="begin"/>
            </w:r>
            <w:r>
              <w:instrText xml:space="preserve"> REF _Ref20662054 \h  \* MERGEFORMAT </w:instrText>
            </w:r>
            <w:r>
              <w:fldChar w:fldCharType="separate"/>
            </w:r>
            <w:r>
              <w:rPr>
                <w:rFonts w:cs="Times New Roman"/>
                <w:color w:val="000000" w:themeColor="text1"/>
                <w:kern w:val="0"/>
                <w:szCs w:val="24"/>
              </w:rPr>
              <w:t>表</w:t>
            </w:r>
            <w:r>
              <w:rPr>
                <w:rFonts w:cs="Times New Roman"/>
                <w:kern w:val="0"/>
                <w:szCs w:val="24"/>
              </w:rPr>
              <w:t>7.2</w:t>
            </w:r>
            <w:r>
              <w:rPr>
                <w:rFonts w:cs="Times New Roman"/>
                <w:kern w:val="0"/>
                <w:szCs w:val="24"/>
              </w:rPr>
              <w:noBreakHyphen/>
            </w:r>
            <w:r>
              <w:rPr>
                <w:rFonts w:cs="Times New Roman"/>
                <w:kern w:val="0"/>
                <w:szCs w:val="24"/>
              </w:rPr>
              <w:t>2</w:t>
            </w:r>
            <w:r>
              <w:rPr>
                <w:rFonts w:cs="Times New Roman"/>
                <w:kern w:val="0"/>
                <w:szCs w:val="24"/>
              </w:rPr>
              <w:fldChar w:fldCharType="end"/>
            </w:r>
            <w:r>
              <w:rPr>
                <w:rFonts w:cs="Times New Roman"/>
                <w:szCs w:val="24"/>
              </w:rPr>
              <w:t>的</w:t>
            </w:r>
            <w:r>
              <w:rPr>
                <w:rFonts w:cs="Times New Roman"/>
                <w:color w:val="000000" w:themeColor="text1"/>
                <w:kern w:val="0"/>
                <w:szCs w:val="24"/>
              </w:rPr>
              <w:t>分级判据进行划分。最大地面空气质量浓度占标率Pi按上述公式计算，如污染物数i大于1，取P值中最大者P</w:t>
            </w:r>
            <w:r>
              <w:rPr>
                <w:rFonts w:cs="Times New Roman"/>
                <w:color w:val="000000" w:themeColor="text1"/>
                <w:kern w:val="0"/>
                <w:szCs w:val="24"/>
                <w:vertAlign w:val="subscript"/>
              </w:rPr>
              <w:t>max</w:t>
            </w:r>
            <w:r>
              <w:rPr>
                <w:rFonts w:cs="Times New Roman"/>
                <w:color w:val="000000" w:themeColor="text1"/>
                <w:kern w:val="0"/>
                <w:szCs w:val="24"/>
              </w:rPr>
              <w:t>。</w:t>
            </w:r>
          </w:p>
          <w:p>
            <w:pPr>
              <w:pStyle w:val="15"/>
              <w:spacing w:line="240" w:lineRule="auto"/>
              <w:rPr>
                <w:rFonts w:cs="Times New Roman" w:eastAsiaTheme="minorEastAsia"/>
                <w:sz w:val="21"/>
                <w:szCs w:val="21"/>
              </w:rPr>
            </w:pPr>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7.2</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6</w:t>
            </w:r>
            <w:r>
              <w:rPr>
                <w:rFonts w:cs="Times New Roman" w:eastAsiaTheme="minorEastAsia"/>
                <w:sz w:val="21"/>
                <w:szCs w:val="21"/>
              </w:rPr>
              <w:fldChar w:fldCharType="end"/>
            </w:r>
            <w:r>
              <w:rPr>
                <w:rFonts w:cs="Times New Roman" w:eastAsiaTheme="minorEastAsia"/>
                <w:sz w:val="21"/>
                <w:szCs w:val="21"/>
              </w:rPr>
              <w:t xml:space="preserve"> </w:t>
            </w:r>
            <w:r>
              <w:rPr>
                <w:rFonts w:cs="Times New Roman" w:eastAsiaTheme="minorEastAsia"/>
                <w:kern w:val="0"/>
                <w:sz w:val="21"/>
                <w:szCs w:val="21"/>
              </w:rPr>
              <w:t>气环境影响评价工作等级</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1"/>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0" w:type="pct"/>
                  <w:vAlign w:val="center"/>
                </w:tcPr>
                <w:p>
                  <w:pPr>
                    <w:jc w:val="center"/>
                    <w:rPr>
                      <w:rFonts w:cs="Times New Roman"/>
                      <w:color w:val="000000" w:themeColor="text1"/>
                      <w:kern w:val="0"/>
                      <w:sz w:val="21"/>
                    </w:rPr>
                  </w:pPr>
                  <w:r>
                    <w:rPr>
                      <w:rFonts w:cs="Times New Roman"/>
                      <w:color w:val="000000" w:themeColor="text1"/>
                      <w:kern w:val="0"/>
                      <w:sz w:val="21"/>
                    </w:rPr>
                    <w:t>评价工作等级</w:t>
                  </w:r>
                </w:p>
              </w:tc>
              <w:tc>
                <w:tcPr>
                  <w:tcW w:w="2500" w:type="pct"/>
                  <w:vAlign w:val="center"/>
                </w:tcPr>
                <w:p>
                  <w:pPr>
                    <w:jc w:val="center"/>
                    <w:rPr>
                      <w:rFonts w:cs="Times New Roman"/>
                      <w:color w:val="000000" w:themeColor="text1"/>
                      <w:kern w:val="0"/>
                      <w:sz w:val="21"/>
                    </w:rPr>
                  </w:pPr>
                  <w:r>
                    <w:rPr>
                      <w:rFonts w:cs="Times New Roman"/>
                      <w:color w:val="000000" w:themeColor="text1"/>
                      <w:kern w:val="0"/>
                      <w:sz w:val="21"/>
                    </w:rPr>
                    <w:t>评价工作等级评价工作分级判据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5"/>
                    <w:spacing w:line="240" w:lineRule="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一级</w:t>
                  </w:r>
                </w:p>
              </w:tc>
              <w:tc>
                <w:tcPr>
                  <w:tcW w:w="2500" w:type="pct"/>
                  <w:vAlign w:val="center"/>
                </w:tcPr>
                <w:p>
                  <w:pPr>
                    <w:pStyle w:val="15"/>
                    <w:spacing w:line="240" w:lineRule="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Pmax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5"/>
                    <w:spacing w:line="240" w:lineRule="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二级</w:t>
                  </w:r>
                </w:p>
              </w:tc>
              <w:tc>
                <w:tcPr>
                  <w:tcW w:w="2500" w:type="pct"/>
                  <w:vAlign w:val="center"/>
                </w:tcPr>
                <w:p>
                  <w:pPr>
                    <w:pStyle w:val="15"/>
                    <w:spacing w:line="240" w:lineRule="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1%≤P 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pStyle w:val="15"/>
                    <w:spacing w:line="240" w:lineRule="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三级</w:t>
                  </w:r>
                </w:p>
              </w:tc>
              <w:tc>
                <w:tcPr>
                  <w:tcW w:w="2500" w:type="pct"/>
                  <w:vAlign w:val="center"/>
                </w:tcPr>
                <w:p>
                  <w:pPr>
                    <w:pStyle w:val="15"/>
                    <w:spacing w:line="240" w:lineRule="auto"/>
                    <w:rPr>
                      <w:rFonts w:cs="Times New Roman" w:eastAsiaTheme="minorEastAsia"/>
                      <w:b w:val="0"/>
                      <w:color w:val="000000" w:themeColor="text1"/>
                      <w:kern w:val="0"/>
                      <w:sz w:val="21"/>
                      <w:szCs w:val="21"/>
                    </w:rPr>
                  </w:pPr>
                  <w:r>
                    <w:rPr>
                      <w:rFonts w:cs="Times New Roman" w:eastAsiaTheme="minorEastAsia"/>
                      <w:b w:val="0"/>
                      <w:color w:val="000000" w:themeColor="text1"/>
                      <w:kern w:val="0"/>
                      <w:sz w:val="21"/>
                      <w:szCs w:val="21"/>
                    </w:rPr>
                    <w:t>Pmax＜1%</w:t>
                  </w:r>
                </w:p>
              </w:tc>
            </w:tr>
          </w:tbl>
          <w:p>
            <w:pPr>
              <w:keepNext/>
              <w:autoSpaceDE w:val="0"/>
              <w:autoSpaceDN w:val="0"/>
              <w:adjustRightInd w:val="0"/>
              <w:spacing w:line="360" w:lineRule="auto"/>
              <w:ind w:firstLine="480" w:firstLineChars="200"/>
              <w:jc w:val="left"/>
              <w:rPr>
                <w:rFonts w:cs="Times New Roman"/>
                <w:szCs w:val="24"/>
              </w:rPr>
            </w:pPr>
            <w:r>
              <w:rPr>
                <w:rFonts w:cs="Times New Roman"/>
                <w:szCs w:val="24"/>
              </w:rPr>
              <w:t>同一项目有多个污染源（两个及以上，下同）时，则按各污染源分别确定评价等级，并取评价等级最高者作为项目的评价等级。项目估算模型参数选择见下表所示。</w:t>
            </w:r>
          </w:p>
          <w:p>
            <w:pPr>
              <w:pStyle w:val="15"/>
              <w:spacing w:line="240" w:lineRule="auto"/>
              <w:rPr>
                <w:rFonts w:cs="Times New Roman" w:eastAsiaTheme="minorEastAsia"/>
                <w:sz w:val="21"/>
                <w:szCs w:val="21"/>
              </w:rPr>
            </w:pPr>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7.2</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7</w:t>
            </w:r>
            <w:r>
              <w:rPr>
                <w:rFonts w:cs="Times New Roman" w:eastAsiaTheme="minorEastAsia"/>
                <w:sz w:val="21"/>
                <w:szCs w:val="21"/>
              </w:rPr>
              <w:fldChar w:fldCharType="end"/>
            </w:r>
            <w:r>
              <w:rPr>
                <w:rFonts w:cs="Times New Roman" w:eastAsiaTheme="minorEastAsia"/>
                <w:sz w:val="21"/>
                <w:szCs w:val="21"/>
              </w:rPr>
              <w:t xml:space="preserve">  估算模型参数一览表</w:t>
            </w:r>
          </w:p>
          <w:tbl>
            <w:tblPr>
              <w:tblStyle w:val="34"/>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240"/>
              <w:gridCol w:w="2582"/>
              <w:gridCol w:w="34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jc w:val="center"/>
              </w:trPr>
              <w:tc>
                <w:tcPr>
                  <w:tcW w:w="2906" w:type="pct"/>
                  <w:gridSpan w:val="2"/>
                  <w:vAlign w:val="center"/>
                </w:tcPr>
                <w:p>
                  <w:pPr>
                    <w:wordWrap w:val="0"/>
                    <w:jc w:val="center"/>
                    <w:rPr>
                      <w:rFonts w:cs="Times New Roman"/>
                      <w:sz w:val="21"/>
                    </w:rPr>
                  </w:pPr>
                  <w:r>
                    <w:rPr>
                      <w:rFonts w:cs="Times New Roman"/>
                      <w:sz w:val="21"/>
                    </w:rPr>
                    <w:t>参数</w:t>
                  </w:r>
                </w:p>
              </w:tc>
              <w:tc>
                <w:tcPr>
                  <w:tcW w:w="2094" w:type="pct"/>
                  <w:vAlign w:val="center"/>
                </w:tcPr>
                <w:p>
                  <w:pPr>
                    <w:wordWrap w:val="0"/>
                    <w:jc w:val="center"/>
                    <w:rPr>
                      <w:rFonts w:cs="Times New Roman"/>
                      <w:sz w:val="21"/>
                    </w:rPr>
                  </w:pPr>
                  <w:r>
                    <w:rPr>
                      <w:rFonts w:cs="Times New Roman"/>
                      <w:sz w:val="21"/>
                    </w:rPr>
                    <w:t>取值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50" w:type="pct"/>
                  <w:vMerge w:val="restart"/>
                  <w:vAlign w:val="center"/>
                </w:tcPr>
                <w:p>
                  <w:pPr>
                    <w:wordWrap w:val="0"/>
                    <w:jc w:val="center"/>
                    <w:rPr>
                      <w:rFonts w:cs="Times New Roman"/>
                      <w:sz w:val="21"/>
                    </w:rPr>
                  </w:pPr>
                  <w:r>
                    <w:rPr>
                      <w:rFonts w:cs="Times New Roman"/>
                      <w:sz w:val="21"/>
                    </w:rPr>
                    <w:t>城市农村/选项</w:t>
                  </w:r>
                </w:p>
              </w:tc>
              <w:tc>
                <w:tcPr>
                  <w:tcW w:w="1556" w:type="pct"/>
                  <w:vAlign w:val="center"/>
                </w:tcPr>
                <w:p>
                  <w:pPr>
                    <w:wordWrap w:val="0"/>
                    <w:jc w:val="center"/>
                    <w:rPr>
                      <w:rFonts w:cs="Times New Roman"/>
                      <w:sz w:val="21"/>
                    </w:rPr>
                  </w:pPr>
                  <w:r>
                    <w:rPr>
                      <w:rFonts w:cs="Times New Roman"/>
                      <w:sz w:val="21"/>
                    </w:rPr>
                    <w:t>城市/农村</w:t>
                  </w:r>
                </w:p>
              </w:tc>
              <w:tc>
                <w:tcPr>
                  <w:tcW w:w="2094" w:type="pct"/>
                  <w:vAlign w:val="center"/>
                </w:tcPr>
                <w:p>
                  <w:pPr>
                    <w:wordWrap w:val="0"/>
                    <w:jc w:val="center"/>
                    <w:rPr>
                      <w:rFonts w:cs="Times New Roman"/>
                      <w:sz w:val="21"/>
                    </w:rPr>
                  </w:pPr>
                  <w:r>
                    <w:rPr>
                      <w:rFonts w:cs="Times New Roman"/>
                      <w:sz w:val="21"/>
                    </w:rPr>
                    <w:t>城市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50" w:type="pct"/>
                  <w:vMerge w:val="continue"/>
                  <w:vAlign w:val="center"/>
                </w:tcPr>
                <w:p>
                  <w:pPr>
                    <w:widowControl/>
                    <w:jc w:val="center"/>
                    <w:rPr>
                      <w:rFonts w:cs="Times New Roman"/>
                      <w:sz w:val="21"/>
                    </w:rPr>
                  </w:pPr>
                </w:p>
              </w:tc>
              <w:tc>
                <w:tcPr>
                  <w:tcW w:w="1556" w:type="pct"/>
                  <w:vAlign w:val="center"/>
                </w:tcPr>
                <w:p>
                  <w:pPr>
                    <w:wordWrap w:val="0"/>
                    <w:jc w:val="center"/>
                    <w:rPr>
                      <w:rFonts w:cs="Times New Roman"/>
                      <w:sz w:val="21"/>
                    </w:rPr>
                  </w:pPr>
                  <w:r>
                    <w:rPr>
                      <w:rFonts w:cs="Times New Roman"/>
                      <w:sz w:val="21"/>
                    </w:rPr>
                    <w:t>人口数(城市人口数)</w:t>
                  </w:r>
                </w:p>
              </w:tc>
              <w:tc>
                <w:tcPr>
                  <w:tcW w:w="2094" w:type="pct"/>
                  <w:vAlign w:val="center"/>
                </w:tcPr>
                <w:p>
                  <w:pPr>
                    <w:wordWrap w:val="0"/>
                    <w:jc w:val="center"/>
                    <w:rPr>
                      <w:rFonts w:cs="Times New Roman"/>
                      <w:sz w:val="21"/>
                    </w:rPr>
                  </w:pPr>
                  <w:r>
                    <w:rPr>
                      <w:rFonts w:cs="Times New Roman"/>
                      <w:sz w:val="21"/>
                    </w:rPr>
                    <w:t>17.7万人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906" w:type="pct"/>
                  <w:gridSpan w:val="2"/>
                  <w:vAlign w:val="center"/>
                </w:tcPr>
                <w:p>
                  <w:pPr>
                    <w:wordWrap w:val="0"/>
                    <w:jc w:val="center"/>
                    <w:rPr>
                      <w:rFonts w:cs="Times New Roman"/>
                      <w:sz w:val="21"/>
                    </w:rPr>
                  </w:pPr>
                  <w:r>
                    <w:rPr>
                      <w:rFonts w:cs="Times New Roman"/>
                      <w:sz w:val="21"/>
                    </w:rPr>
                    <w:t>最高环境温度</w:t>
                  </w:r>
                </w:p>
              </w:tc>
              <w:tc>
                <w:tcPr>
                  <w:tcW w:w="2094" w:type="pct"/>
                  <w:vAlign w:val="center"/>
                </w:tcPr>
                <w:p>
                  <w:pPr>
                    <w:wordWrap w:val="0"/>
                    <w:jc w:val="center"/>
                    <w:rPr>
                      <w:rFonts w:cs="Times New Roman"/>
                      <w:color w:val="000000" w:themeColor="text1"/>
                      <w:sz w:val="21"/>
                    </w:rPr>
                  </w:pPr>
                  <w:r>
                    <w:rPr>
                      <w:rFonts w:cs="Times New Roman"/>
                      <w:color w:val="000000" w:themeColor="text1"/>
                      <w:sz w:val="21"/>
                    </w:rPr>
                    <w:t>38°C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906" w:type="pct"/>
                  <w:gridSpan w:val="2"/>
                  <w:vAlign w:val="center"/>
                </w:tcPr>
                <w:p>
                  <w:pPr>
                    <w:wordWrap w:val="0"/>
                    <w:jc w:val="center"/>
                    <w:rPr>
                      <w:rFonts w:cs="Times New Roman"/>
                      <w:sz w:val="21"/>
                    </w:rPr>
                  </w:pPr>
                  <w:r>
                    <w:rPr>
                      <w:rFonts w:cs="Times New Roman"/>
                      <w:sz w:val="21"/>
                    </w:rPr>
                    <w:t>最低环境温度</w:t>
                  </w:r>
                </w:p>
              </w:tc>
              <w:tc>
                <w:tcPr>
                  <w:tcW w:w="2094" w:type="pct"/>
                  <w:vAlign w:val="center"/>
                </w:tcPr>
                <w:p>
                  <w:pPr>
                    <w:wordWrap w:val="0"/>
                    <w:jc w:val="center"/>
                    <w:rPr>
                      <w:rFonts w:cs="Times New Roman"/>
                      <w:color w:val="000000" w:themeColor="text1"/>
                      <w:sz w:val="21"/>
                    </w:rPr>
                  </w:pPr>
                  <w:r>
                    <w:rPr>
                      <w:rFonts w:cs="Times New Roman"/>
                      <w:color w:val="000000" w:themeColor="text1"/>
                      <w:sz w:val="21"/>
                    </w:rPr>
                    <w:t>-11.8°C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906" w:type="pct"/>
                  <w:gridSpan w:val="2"/>
                  <w:vAlign w:val="center"/>
                </w:tcPr>
                <w:p>
                  <w:pPr>
                    <w:wordWrap w:val="0"/>
                    <w:jc w:val="center"/>
                    <w:rPr>
                      <w:rFonts w:cs="Times New Roman"/>
                      <w:sz w:val="21"/>
                    </w:rPr>
                  </w:pPr>
                  <w:r>
                    <w:rPr>
                      <w:rFonts w:cs="Times New Roman"/>
                      <w:sz w:val="21"/>
                    </w:rPr>
                    <w:t>土地利用类型</w:t>
                  </w:r>
                </w:p>
              </w:tc>
              <w:tc>
                <w:tcPr>
                  <w:tcW w:w="2094" w:type="pct"/>
                  <w:vAlign w:val="center"/>
                </w:tcPr>
                <w:p>
                  <w:pPr>
                    <w:wordWrap w:val="0"/>
                    <w:jc w:val="center"/>
                    <w:rPr>
                      <w:rFonts w:cs="Times New Roman"/>
                      <w:sz w:val="21"/>
                    </w:rPr>
                  </w:pPr>
                  <w:r>
                    <w:rPr>
                      <w:rFonts w:cs="Times New Roman"/>
                      <w:sz w:val="21"/>
                    </w:rPr>
                    <w:t>城市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906" w:type="pct"/>
                  <w:gridSpan w:val="2"/>
                  <w:vAlign w:val="center"/>
                </w:tcPr>
                <w:p>
                  <w:pPr>
                    <w:wordWrap w:val="0"/>
                    <w:jc w:val="center"/>
                    <w:rPr>
                      <w:rFonts w:cs="Times New Roman"/>
                      <w:sz w:val="21"/>
                    </w:rPr>
                  </w:pPr>
                  <w:r>
                    <w:rPr>
                      <w:rFonts w:cs="Times New Roman"/>
                      <w:sz w:val="21"/>
                    </w:rPr>
                    <w:t>区域湿度条件</w:t>
                  </w:r>
                </w:p>
              </w:tc>
              <w:tc>
                <w:tcPr>
                  <w:tcW w:w="2094" w:type="pct"/>
                  <w:vAlign w:val="center"/>
                </w:tcPr>
                <w:p>
                  <w:pPr>
                    <w:wordWrap w:val="0"/>
                    <w:jc w:val="center"/>
                    <w:rPr>
                      <w:rFonts w:cs="Times New Roman"/>
                      <w:sz w:val="21"/>
                    </w:rPr>
                  </w:pPr>
                  <w:r>
                    <w:rPr>
                      <w:rFonts w:cs="Times New Roman"/>
                      <w:sz w:val="21"/>
                    </w:rPr>
                    <w:t>潮湿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50" w:type="pct"/>
                  <w:vMerge w:val="restart"/>
                  <w:vAlign w:val="center"/>
                </w:tcPr>
                <w:p>
                  <w:pPr>
                    <w:wordWrap w:val="0"/>
                    <w:jc w:val="center"/>
                    <w:rPr>
                      <w:rFonts w:cs="Times New Roman"/>
                      <w:sz w:val="21"/>
                    </w:rPr>
                  </w:pPr>
                  <w:r>
                    <w:rPr>
                      <w:rFonts w:cs="Times New Roman"/>
                      <w:sz w:val="21"/>
                    </w:rPr>
                    <w:t>是否考虑地形</w:t>
                  </w:r>
                </w:p>
              </w:tc>
              <w:tc>
                <w:tcPr>
                  <w:tcW w:w="1556" w:type="pct"/>
                  <w:vAlign w:val="center"/>
                </w:tcPr>
                <w:p>
                  <w:pPr>
                    <w:wordWrap w:val="0"/>
                    <w:jc w:val="center"/>
                    <w:rPr>
                      <w:rFonts w:cs="Times New Roman"/>
                      <w:sz w:val="21"/>
                    </w:rPr>
                  </w:pPr>
                  <w:r>
                    <w:rPr>
                      <w:rFonts w:cs="Times New Roman"/>
                      <w:sz w:val="21"/>
                    </w:rPr>
                    <w:t>考虑地形</w:t>
                  </w:r>
                </w:p>
              </w:tc>
              <w:tc>
                <w:tcPr>
                  <w:tcW w:w="2094" w:type="pct"/>
                  <w:vAlign w:val="center"/>
                </w:tcPr>
                <w:p>
                  <w:pPr>
                    <w:wordWrap w:val="0"/>
                    <w:jc w:val="center"/>
                    <w:rPr>
                      <w:rFonts w:cs="Times New Roman"/>
                      <w:sz w:val="21"/>
                    </w:rPr>
                  </w:pPr>
                  <w:r>
                    <w:rPr>
                      <w:rFonts w:cs="Times New Roman"/>
                      <w:sz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50" w:type="pct"/>
                  <w:vMerge w:val="continue"/>
                  <w:vAlign w:val="center"/>
                </w:tcPr>
                <w:p>
                  <w:pPr>
                    <w:widowControl/>
                    <w:jc w:val="center"/>
                    <w:rPr>
                      <w:rFonts w:cs="Times New Roman"/>
                      <w:sz w:val="21"/>
                    </w:rPr>
                  </w:pPr>
                </w:p>
              </w:tc>
              <w:tc>
                <w:tcPr>
                  <w:tcW w:w="1556" w:type="pct"/>
                  <w:vAlign w:val="center"/>
                </w:tcPr>
                <w:p>
                  <w:pPr>
                    <w:wordWrap w:val="0"/>
                    <w:jc w:val="center"/>
                    <w:rPr>
                      <w:rFonts w:cs="Times New Roman"/>
                      <w:sz w:val="21"/>
                    </w:rPr>
                  </w:pPr>
                  <w:r>
                    <w:rPr>
                      <w:rFonts w:cs="Times New Roman"/>
                      <w:sz w:val="21"/>
                    </w:rPr>
                    <w:t>地形数据分辨率(m)</w:t>
                  </w:r>
                </w:p>
              </w:tc>
              <w:tc>
                <w:tcPr>
                  <w:tcW w:w="2094" w:type="pct"/>
                  <w:vAlign w:val="center"/>
                </w:tcPr>
                <w:p>
                  <w:pPr>
                    <w:wordWrap w:val="0"/>
                    <w:jc w:val="center"/>
                    <w:rPr>
                      <w:rFonts w:cs="Times New Roman"/>
                      <w:sz w:val="21"/>
                    </w:rPr>
                  </w:pPr>
                  <w:r>
                    <w:rPr>
                      <w:rFonts w:cs="Times New Roman"/>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50" w:type="pct"/>
                  <w:vMerge w:val="restart"/>
                  <w:vAlign w:val="center"/>
                </w:tcPr>
                <w:p>
                  <w:pPr>
                    <w:wordWrap w:val="0"/>
                    <w:jc w:val="center"/>
                    <w:rPr>
                      <w:rFonts w:cs="Times New Roman"/>
                      <w:sz w:val="21"/>
                    </w:rPr>
                  </w:pPr>
                  <w:r>
                    <w:rPr>
                      <w:rFonts w:cs="Times New Roman"/>
                      <w:sz w:val="21"/>
                    </w:rPr>
                    <w:t>是否考虑海岸线熏烟</w:t>
                  </w:r>
                </w:p>
              </w:tc>
              <w:tc>
                <w:tcPr>
                  <w:tcW w:w="1556" w:type="pct"/>
                  <w:vAlign w:val="center"/>
                </w:tcPr>
                <w:p>
                  <w:pPr>
                    <w:wordWrap w:val="0"/>
                    <w:jc w:val="center"/>
                    <w:rPr>
                      <w:rFonts w:cs="Times New Roman"/>
                      <w:sz w:val="21"/>
                    </w:rPr>
                  </w:pPr>
                  <w:r>
                    <w:rPr>
                      <w:rFonts w:cs="Times New Roman"/>
                      <w:sz w:val="21"/>
                    </w:rPr>
                    <w:t>考虑海岸线熏烟</w:t>
                  </w:r>
                </w:p>
              </w:tc>
              <w:tc>
                <w:tcPr>
                  <w:tcW w:w="2094" w:type="pct"/>
                  <w:vAlign w:val="center"/>
                </w:tcPr>
                <w:p>
                  <w:pPr>
                    <w:wordWrap w:val="0"/>
                    <w:jc w:val="center"/>
                    <w:rPr>
                      <w:rFonts w:cs="Times New Roman"/>
                      <w:sz w:val="21"/>
                    </w:rPr>
                  </w:pPr>
                  <w:r>
                    <w:rPr>
                      <w:rFonts w:cs="Times New Roman"/>
                      <w:sz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50" w:type="pct"/>
                  <w:vMerge w:val="continue"/>
                  <w:vAlign w:val="center"/>
                </w:tcPr>
                <w:p>
                  <w:pPr>
                    <w:widowControl/>
                    <w:jc w:val="center"/>
                    <w:rPr>
                      <w:rFonts w:cs="Times New Roman"/>
                      <w:sz w:val="21"/>
                    </w:rPr>
                  </w:pPr>
                </w:p>
              </w:tc>
              <w:tc>
                <w:tcPr>
                  <w:tcW w:w="1556" w:type="pct"/>
                  <w:vAlign w:val="center"/>
                </w:tcPr>
                <w:p>
                  <w:pPr>
                    <w:wordWrap w:val="0"/>
                    <w:jc w:val="center"/>
                    <w:rPr>
                      <w:rFonts w:cs="Times New Roman"/>
                      <w:sz w:val="21"/>
                    </w:rPr>
                  </w:pPr>
                  <w:r>
                    <w:rPr>
                      <w:rFonts w:cs="Times New Roman"/>
                      <w:sz w:val="21"/>
                    </w:rPr>
                    <w:t>海岸线距离/m</w:t>
                  </w:r>
                </w:p>
              </w:tc>
              <w:tc>
                <w:tcPr>
                  <w:tcW w:w="2094" w:type="pct"/>
                  <w:vAlign w:val="center"/>
                </w:tcPr>
                <w:p>
                  <w:pPr>
                    <w:wordWrap w:val="0"/>
                    <w:jc w:val="center"/>
                    <w:rPr>
                      <w:rFonts w:cs="Times New Roman"/>
                      <w:sz w:val="21"/>
                    </w:rPr>
                  </w:pPr>
                  <w:r>
                    <w:rPr>
                      <w:rFonts w:cs="Times New Roman"/>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50" w:type="pct"/>
                  <w:vMerge w:val="continue"/>
                  <w:vAlign w:val="center"/>
                </w:tcPr>
                <w:p>
                  <w:pPr>
                    <w:widowControl/>
                    <w:jc w:val="center"/>
                    <w:rPr>
                      <w:rFonts w:cs="Times New Roman"/>
                      <w:sz w:val="21"/>
                    </w:rPr>
                  </w:pPr>
                </w:p>
              </w:tc>
              <w:tc>
                <w:tcPr>
                  <w:tcW w:w="1556" w:type="pct"/>
                  <w:vAlign w:val="center"/>
                </w:tcPr>
                <w:p>
                  <w:pPr>
                    <w:wordWrap w:val="0"/>
                    <w:jc w:val="center"/>
                    <w:rPr>
                      <w:rFonts w:cs="Times New Roman"/>
                      <w:sz w:val="21"/>
                    </w:rPr>
                  </w:pPr>
                  <w:r>
                    <w:rPr>
                      <w:rFonts w:cs="Times New Roman"/>
                      <w:sz w:val="21"/>
                    </w:rPr>
                    <w:t>海岸线方向/</w:t>
                  </w:r>
                  <w:r>
                    <w:rPr>
                      <w:rFonts w:cs="Times New Roman"/>
                      <w:sz w:val="21"/>
                      <w:vertAlign w:val="superscript"/>
                    </w:rPr>
                    <w:t>o</w:t>
                  </w:r>
                </w:p>
              </w:tc>
              <w:tc>
                <w:tcPr>
                  <w:tcW w:w="2094" w:type="pct"/>
                  <w:vAlign w:val="center"/>
                </w:tcPr>
                <w:p>
                  <w:pPr>
                    <w:wordWrap w:val="0"/>
                    <w:jc w:val="center"/>
                    <w:rPr>
                      <w:rFonts w:cs="Times New Roman"/>
                      <w:sz w:val="21"/>
                    </w:rPr>
                  </w:pPr>
                  <w:r>
                    <w:rPr>
                      <w:rFonts w:cs="Times New Roman"/>
                      <w:sz w:val="21"/>
                    </w:rPr>
                    <w:t>/</w:t>
                  </w:r>
                </w:p>
              </w:tc>
            </w:tr>
          </w:tbl>
          <w:p>
            <w:pPr>
              <w:keepNext/>
              <w:spacing w:line="360" w:lineRule="auto"/>
              <w:ind w:firstLine="480" w:firstLineChars="200"/>
              <w:rPr>
                <w:rFonts w:cs="Times New Roman"/>
              </w:rPr>
            </w:pPr>
            <w:r>
              <w:rPr>
                <w:rFonts w:cs="Times New Roman"/>
              </w:rPr>
              <w:t>（3）预测源强、参数</w:t>
            </w:r>
          </w:p>
          <w:p>
            <w:pPr>
              <w:keepNext/>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cs="Times New Roman"/>
                <w:szCs w:val="24"/>
              </w:rPr>
            </w:pPr>
            <w:r>
              <w:rPr>
                <w:rFonts w:cs="Times New Roman"/>
                <w:szCs w:val="24"/>
              </w:rPr>
              <w:t>①预测因子源强</w:t>
            </w:r>
          </w:p>
          <w:p>
            <w:pPr>
              <w:keepNext/>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cs="Times New Roman"/>
                <w:szCs w:val="24"/>
              </w:rPr>
            </w:pPr>
            <w:r>
              <w:rPr>
                <w:rFonts w:cs="Times New Roman"/>
                <w:szCs w:val="24"/>
              </w:rPr>
              <w:t>本项目点源预测因子源强，参数见</w:t>
            </w:r>
            <w:r>
              <w:fldChar w:fldCharType="begin"/>
            </w:r>
            <w:r>
              <w:instrText xml:space="preserve"> REF _Ref54640673 \h  \* MERGEFORMAT </w:instrText>
            </w:r>
            <w:r>
              <w:fldChar w:fldCharType="separate"/>
            </w:r>
            <w:r>
              <w:rPr>
                <w:rFonts w:cs="Times New Roman"/>
              </w:rPr>
              <w:t>表</w:t>
            </w:r>
            <w:r>
              <w:rPr>
                <w:rFonts w:cs="Times New Roman"/>
              </w:rPr>
              <w:fldChar w:fldCharType="begin"/>
            </w:r>
            <w:r>
              <w:rPr>
                <w:rFonts w:cs="Times New Roman"/>
              </w:rPr>
              <w:instrText xml:space="preserve"> STYLEREF</w:instrText>
            </w:r>
            <w:r>
              <w:instrText xml:space="preserve"> 2 \s </w:instrText>
            </w:r>
            <w:r>
              <w:fldChar w:fldCharType="separate"/>
            </w:r>
            <w:r>
              <w:t>7.2</w:t>
            </w:r>
            <w:r>
              <w:fldChar w:fldCharType="end"/>
            </w:r>
            <w:r>
              <w:noBreakHyphen/>
            </w:r>
            <w:r>
              <w:t>8</w:t>
            </w:r>
            <w:r>
              <w:fldChar w:fldCharType="end"/>
            </w:r>
            <w:r>
              <w:rPr>
                <w:rFonts w:cs="Times New Roman"/>
                <w:szCs w:val="24"/>
              </w:rPr>
              <w:t>，面源预测因子源强、参数见</w:t>
            </w:r>
            <w:r>
              <w:fldChar w:fldCharType="begin"/>
            </w:r>
            <w:r>
              <w:instrText xml:space="preserve"> REF _Ref54640705 \h  \* MERGEFORMAT </w:instrText>
            </w:r>
            <w:r>
              <w:fldChar w:fldCharType="separate"/>
            </w:r>
            <w:r>
              <w:rPr>
                <w:rFonts w:cs="Times New Roman"/>
              </w:rPr>
              <w:t>表</w:t>
            </w:r>
            <w:r>
              <w:rPr>
                <w:rFonts w:cs="Times New Roman"/>
              </w:rPr>
              <w:fldChar w:fldCharType="begin"/>
            </w:r>
            <w:r>
              <w:rPr>
                <w:rFonts w:cs="Times New Roman"/>
              </w:rPr>
              <w:instrText xml:space="preserve"> STYLEREF</w:instrText>
            </w:r>
            <w:r>
              <w:instrText xml:space="preserve"> 2 \s </w:instrText>
            </w:r>
            <w:r>
              <w:fldChar w:fldCharType="separate"/>
            </w:r>
            <w:r>
              <w:t>7.2</w:t>
            </w:r>
            <w:r>
              <w:fldChar w:fldCharType="end"/>
            </w:r>
            <w:r>
              <w:noBreakHyphen/>
            </w:r>
            <w:r>
              <w:t>9</w:t>
            </w:r>
            <w:r>
              <w:fldChar w:fldCharType="end"/>
            </w:r>
            <w:r>
              <w:rPr>
                <w:rFonts w:cs="Times New Roman"/>
                <w:szCs w:val="24"/>
              </w:rPr>
              <w:t>。</w:t>
            </w:r>
          </w:p>
          <w:p>
            <w:pPr>
              <w:keepNext/>
              <w:autoSpaceDE w:val="0"/>
              <w:autoSpaceDN w:val="0"/>
              <w:adjustRightInd w:val="0"/>
              <w:ind w:firstLine="422" w:firstLineChars="200"/>
              <w:jc w:val="center"/>
              <w:rPr>
                <w:rFonts w:cs="Times New Roman"/>
                <w:b/>
                <w:sz w:val="21"/>
              </w:rPr>
            </w:pPr>
            <w:bookmarkStart w:id="20" w:name="_Ref54640673"/>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7.2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8</w:t>
            </w:r>
            <w:r>
              <w:rPr>
                <w:rFonts w:cs="Times New Roman"/>
                <w:b/>
                <w:sz w:val="21"/>
              </w:rPr>
              <w:fldChar w:fldCharType="end"/>
            </w:r>
            <w:bookmarkEnd w:id="20"/>
            <w:r>
              <w:rPr>
                <w:rFonts w:cs="Times New Roman"/>
                <w:b/>
                <w:sz w:val="21"/>
              </w:rPr>
              <w:t xml:space="preserve">  点源参数一览表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91"/>
              <w:gridCol w:w="585"/>
              <w:gridCol w:w="622"/>
              <w:gridCol w:w="1160"/>
              <w:gridCol w:w="974"/>
              <w:gridCol w:w="779"/>
              <w:gridCol w:w="515"/>
              <w:gridCol w:w="874"/>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编号</w:t>
                  </w:r>
                </w:p>
              </w:tc>
              <w:tc>
                <w:tcPr>
                  <w:tcW w:w="536"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名称</w:t>
                  </w:r>
                </w:p>
              </w:tc>
              <w:tc>
                <w:tcPr>
                  <w:tcW w:w="352"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排气筒高度/m</w:t>
                  </w:r>
                </w:p>
              </w:tc>
              <w:tc>
                <w:tcPr>
                  <w:tcW w:w="374"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排气筒内径/m</w:t>
                  </w:r>
                </w:p>
              </w:tc>
              <w:tc>
                <w:tcPr>
                  <w:tcW w:w="698"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烟气流量/</w:t>
                  </w:r>
                  <w:r>
                    <w:rPr>
                      <w:rFonts w:cs="Times New Roman" w:eastAsiaTheme="minorEastAsia"/>
                      <w:b w:val="0"/>
                      <w:color w:val="0070C0"/>
                      <w:kern w:val="0"/>
                      <w:sz w:val="21"/>
                      <w:szCs w:val="21"/>
                    </w:rPr>
                    <w:t>（m</w:t>
                  </w:r>
                  <w:r>
                    <w:rPr>
                      <w:rFonts w:cs="Times New Roman" w:eastAsiaTheme="minorEastAsia"/>
                      <w:b w:val="0"/>
                      <w:color w:val="0070C0"/>
                      <w:kern w:val="0"/>
                      <w:sz w:val="21"/>
                      <w:szCs w:val="21"/>
                      <w:vertAlign w:val="superscript"/>
                    </w:rPr>
                    <w:t>3</w:t>
                  </w:r>
                  <w:r>
                    <w:rPr>
                      <w:rFonts w:cs="Times New Roman" w:eastAsiaTheme="minorEastAsia"/>
                      <w:b w:val="0"/>
                      <w:color w:val="0070C0"/>
                      <w:kern w:val="0"/>
                      <w:sz w:val="21"/>
                      <w:szCs w:val="21"/>
                    </w:rPr>
                    <w:t>/h）</w:t>
                  </w:r>
                </w:p>
              </w:tc>
              <w:tc>
                <w:tcPr>
                  <w:tcW w:w="586" w:type="pct"/>
                  <w:vAlign w:val="center"/>
                </w:tcPr>
                <w:p>
                  <w:pPr>
                    <w:autoSpaceDE w:val="0"/>
                    <w:autoSpaceDN w:val="0"/>
                    <w:adjustRightInd w:val="0"/>
                    <w:snapToGrid w:val="0"/>
                    <w:jc w:val="center"/>
                    <w:rPr>
                      <w:rFonts w:cs="Times New Roman"/>
                      <w:color w:val="0070C0"/>
                      <w:sz w:val="21"/>
                    </w:rPr>
                  </w:pPr>
                  <w:r>
                    <w:rPr>
                      <w:rFonts w:cs="Times New Roman"/>
                      <w:color w:val="0070C0"/>
                      <w:kern w:val="0"/>
                      <w:sz w:val="21"/>
                    </w:rPr>
                    <w:t>烟气温度/（℃）</w:t>
                  </w:r>
                </w:p>
              </w:tc>
              <w:tc>
                <w:tcPr>
                  <w:tcW w:w="469" w:type="pct"/>
                  <w:vAlign w:val="center"/>
                </w:tcPr>
                <w:p>
                  <w:pPr>
                    <w:autoSpaceDE w:val="0"/>
                    <w:autoSpaceDN w:val="0"/>
                    <w:adjustRightInd w:val="0"/>
                    <w:snapToGrid w:val="0"/>
                    <w:jc w:val="center"/>
                    <w:rPr>
                      <w:rFonts w:cs="Times New Roman"/>
                      <w:color w:val="0070C0"/>
                      <w:sz w:val="21"/>
                    </w:rPr>
                  </w:pPr>
                  <w:r>
                    <w:rPr>
                      <w:rFonts w:cs="Times New Roman"/>
                      <w:color w:val="0070C0"/>
                      <w:kern w:val="0"/>
                      <w:sz w:val="21"/>
                    </w:rPr>
                    <w:t>年排放小时数/h</w:t>
                  </w:r>
                </w:p>
              </w:tc>
              <w:tc>
                <w:tcPr>
                  <w:tcW w:w="310" w:type="pct"/>
                  <w:vAlign w:val="center"/>
                </w:tcPr>
                <w:p>
                  <w:pPr>
                    <w:autoSpaceDE w:val="0"/>
                    <w:autoSpaceDN w:val="0"/>
                    <w:adjustRightInd w:val="0"/>
                    <w:snapToGrid w:val="0"/>
                    <w:jc w:val="center"/>
                    <w:rPr>
                      <w:rFonts w:cs="Times New Roman"/>
                      <w:color w:val="0070C0"/>
                      <w:sz w:val="21"/>
                    </w:rPr>
                  </w:pPr>
                  <w:r>
                    <w:rPr>
                      <w:rFonts w:cs="Times New Roman"/>
                      <w:color w:val="0070C0"/>
                      <w:kern w:val="0"/>
                      <w:sz w:val="21"/>
                    </w:rPr>
                    <w:t>排放工况</w:t>
                  </w:r>
                </w:p>
              </w:tc>
              <w:tc>
                <w:tcPr>
                  <w:tcW w:w="526"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污染物名称</w:t>
                  </w:r>
                </w:p>
              </w:tc>
              <w:tc>
                <w:tcPr>
                  <w:tcW w:w="642"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kern w:val="0"/>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3"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DA00</w:t>
                  </w:r>
                  <w:r>
                    <w:rPr>
                      <w:rFonts w:hint="eastAsia" w:cs="Times New Roman" w:eastAsiaTheme="minorEastAsia"/>
                      <w:b w:val="0"/>
                      <w:color w:val="0070C0"/>
                      <w:sz w:val="21"/>
                      <w:szCs w:val="21"/>
                    </w:rPr>
                    <w:t>1</w:t>
                  </w:r>
                </w:p>
              </w:tc>
              <w:tc>
                <w:tcPr>
                  <w:tcW w:w="536"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搅拌机排气筒</w:t>
                  </w:r>
                </w:p>
              </w:tc>
              <w:tc>
                <w:tcPr>
                  <w:tcW w:w="352"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30</w:t>
                  </w:r>
                </w:p>
              </w:tc>
              <w:tc>
                <w:tcPr>
                  <w:tcW w:w="374"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0.5</w:t>
                  </w:r>
                </w:p>
              </w:tc>
              <w:tc>
                <w:tcPr>
                  <w:tcW w:w="698" w:type="pct"/>
                  <w:vAlign w:val="center"/>
                </w:tcPr>
                <w:p>
                  <w:pPr>
                    <w:pStyle w:val="15"/>
                    <w:adjustRightInd w:val="0"/>
                    <w:snapToGrid w:val="0"/>
                    <w:spacing w:line="240" w:lineRule="auto"/>
                    <w:rPr>
                      <w:rFonts w:cs="Times New Roman" w:eastAsiaTheme="minorEastAsia"/>
                      <w:b w:val="0"/>
                      <w:color w:val="0070C0"/>
                      <w:sz w:val="21"/>
                      <w:szCs w:val="21"/>
                    </w:rPr>
                  </w:pPr>
                  <w:r>
                    <w:rPr>
                      <w:rFonts w:hint="eastAsia" w:cs="Times New Roman" w:eastAsiaTheme="minorEastAsia"/>
                      <w:b w:val="0"/>
                      <w:color w:val="0070C0"/>
                      <w:sz w:val="21"/>
                      <w:szCs w:val="21"/>
                    </w:rPr>
                    <w:t>2000</w:t>
                  </w:r>
                </w:p>
              </w:tc>
              <w:tc>
                <w:tcPr>
                  <w:tcW w:w="586"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25</w:t>
                  </w:r>
                </w:p>
              </w:tc>
              <w:tc>
                <w:tcPr>
                  <w:tcW w:w="469"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2000</w:t>
                  </w:r>
                </w:p>
              </w:tc>
              <w:tc>
                <w:tcPr>
                  <w:tcW w:w="310"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正常排放</w:t>
                  </w:r>
                </w:p>
              </w:tc>
              <w:tc>
                <w:tcPr>
                  <w:tcW w:w="526"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TSP</w:t>
                  </w:r>
                </w:p>
              </w:tc>
              <w:tc>
                <w:tcPr>
                  <w:tcW w:w="642" w:type="pct"/>
                  <w:vAlign w:val="center"/>
                </w:tcPr>
                <w:p>
                  <w:pPr>
                    <w:pStyle w:val="15"/>
                    <w:adjustRightInd w:val="0"/>
                    <w:snapToGrid w:val="0"/>
                    <w:spacing w:line="240" w:lineRule="auto"/>
                    <w:rPr>
                      <w:rFonts w:cs="Times New Roman" w:eastAsiaTheme="minorEastAsia"/>
                      <w:b w:val="0"/>
                      <w:color w:val="0070C0"/>
                      <w:sz w:val="21"/>
                      <w:szCs w:val="21"/>
                    </w:rPr>
                  </w:pPr>
                  <w:r>
                    <w:rPr>
                      <w:rFonts w:cs="Times New Roman" w:eastAsiaTheme="minorEastAsia"/>
                      <w:b w:val="0"/>
                      <w:color w:val="0070C0"/>
                      <w:sz w:val="21"/>
                      <w:szCs w:val="21"/>
                    </w:rPr>
                    <w:t>0.0</w:t>
                  </w:r>
                  <w:r>
                    <w:rPr>
                      <w:rFonts w:hint="eastAsia" w:cs="Times New Roman" w:eastAsiaTheme="minorEastAsia"/>
                      <w:b w:val="0"/>
                      <w:color w:val="0070C0"/>
                      <w:sz w:val="21"/>
                      <w:szCs w:val="21"/>
                      <w:lang w:val="en-US" w:eastAsia="zh-CN"/>
                    </w:rPr>
                    <w:t>2</w:t>
                  </w:r>
                  <w:r>
                    <w:rPr>
                      <w:rFonts w:cs="Times New Roman" w:eastAsiaTheme="minorEastAsia"/>
                      <w:b w:val="0"/>
                      <w:color w:val="0070C0"/>
                      <w:sz w:val="21"/>
                      <w:szCs w:val="21"/>
                    </w:rPr>
                    <w:t>kg/h</w:t>
                  </w:r>
                </w:p>
              </w:tc>
            </w:tr>
          </w:tbl>
          <w:p>
            <w:pPr>
              <w:keepNext/>
              <w:keepLines w:val="0"/>
              <w:pageBreakBefore w:val="0"/>
              <w:widowControl w:val="0"/>
              <w:kinsoku/>
              <w:wordWrap/>
              <w:overflowPunct/>
              <w:topLinePunct w:val="0"/>
              <w:autoSpaceDE w:val="0"/>
              <w:autoSpaceDN w:val="0"/>
              <w:bidi w:val="0"/>
              <w:adjustRightInd w:val="0"/>
              <w:snapToGrid/>
              <w:ind w:firstLine="422" w:firstLineChars="200"/>
              <w:jc w:val="center"/>
              <w:textAlignment w:val="auto"/>
              <w:rPr>
                <w:rFonts w:cs="Times New Roman"/>
                <w:sz w:val="21"/>
              </w:rPr>
            </w:pPr>
            <w:bookmarkStart w:id="21" w:name="_Ref54640705"/>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7.2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9</w:t>
            </w:r>
            <w:r>
              <w:rPr>
                <w:rFonts w:cs="Times New Roman"/>
                <w:b/>
                <w:sz w:val="21"/>
              </w:rPr>
              <w:fldChar w:fldCharType="end"/>
            </w:r>
            <w:bookmarkEnd w:id="21"/>
            <w:r>
              <w:rPr>
                <w:rFonts w:cs="Times New Roman"/>
                <w:b/>
                <w:sz w:val="21"/>
              </w:rPr>
              <w:t xml:space="preserve">  无组织面源排放参数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0"/>
              <w:gridCol w:w="805"/>
              <w:gridCol w:w="1001"/>
              <w:gridCol w:w="903"/>
              <w:gridCol w:w="578"/>
              <w:gridCol w:w="427"/>
              <w:gridCol w:w="493"/>
              <w:gridCol w:w="706"/>
              <w:gridCol w:w="998"/>
              <w:gridCol w:w="533"/>
              <w:gridCol w:w="677"/>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133"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编号</w:t>
                  </w:r>
                </w:p>
              </w:tc>
              <w:tc>
                <w:tcPr>
                  <w:tcW w:w="485"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名称</w:t>
                  </w:r>
                </w:p>
              </w:tc>
              <w:tc>
                <w:tcPr>
                  <w:tcW w:w="1147" w:type="pct"/>
                  <w:gridSpan w:val="2"/>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面源起点坐标</w:t>
                  </w:r>
                </w:p>
              </w:tc>
              <w:tc>
                <w:tcPr>
                  <w:tcW w:w="348"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面源海拔高度/m</w:t>
                  </w:r>
                </w:p>
              </w:tc>
              <w:tc>
                <w:tcPr>
                  <w:tcW w:w="257"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面源长度/m</w:t>
                  </w:r>
                </w:p>
              </w:tc>
              <w:tc>
                <w:tcPr>
                  <w:tcW w:w="297"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面源宽度/m</w:t>
                  </w:r>
                </w:p>
              </w:tc>
              <w:tc>
                <w:tcPr>
                  <w:tcW w:w="425"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与正北向夹角/</w:t>
                  </w:r>
                  <w:r>
                    <w:rPr>
                      <w:rFonts w:cs="Times New Roman"/>
                      <w:color w:val="0070C0"/>
                      <w:sz w:val="21"/>
                      <w:vertAlign w:val="superscript"/>
                    </w:rPr>
                    <w:t>。</w:t>
                  </w:r>
                </w:p>
              </w:tc>
              <w:tc>
                <w:tcPr>
                  <w:tcW w:w="601"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面源有效排放高度/m</w:t>
                  </w:r>
                </w:p>
              </w:tc>
              <w:tc>
                <w:tcPr>
                  <w:tcW w:w="321"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污染物</w:t>
                  </w:r>
                </w:p>
              </w:tc>
              <w:tc>
                <w:tcPr>
                  <w:tcW w:w="408"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年排放小时数/h</w:t>
                  </w:r>
                </w:p>
              </w:tc>
              <w:tc>
                <w:tcPr>
                  <w:tcW w:w="579" w:type="pct"/>
                  <w:vMerge w:val="restar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133" w:type="pct"/>
                  <w:vMerge w:val="continue"/>
                  <w:vAlign w:val="center"/>
                </w:tcPr>
                <w:p>
                  <w:pPr>
                    <w:pStyle w:val="32"/>
                    <w:tabs>
                      <w:tab w:val="left" w:pos="2076"/>
                    </w:tabs>
                    <w:spacing w:after="0"/>
                    <w:ind w:left="0" w:leftChars="0" w:firstLine="0" w:firstLineChars="0"/>
                    <w:jc w:val="center"/>
                    <w:rPr>
                      <w:rFonts w:cs="Times New Roman"/>
                      <w:color w:val="0070C0"/>
                      <w:sz w:val="21"/>
                    </w:rPr>
                  </w:pPr>
                </w:p>
              </w:tc>
              <w:tc>
                <w:tcPr>
                  <w:tcW w:w="485" w:type="pct"/>
                  <w:vMerge w:val="continue"/>
                  <w:vAlign w:val="center"/>
                </w:tcPr>
                <w:p>
                  <w:pPr>
                    <w:pStyle w:val="32"/>
                    <w:tabs>
                      <w:tab w:val="left" w:pos="2076"/>
                    </w:tabs>
                    <w:spacing w:after="0"/>
                    <w:ind w:left="0" w:leftChars="0" w:firstLine="0" w:firstLineChars="0"/>
                    <w:jc w:val="center"/>
                    <w:rPr>
                      <w:rFonts w:cs="Times New Roman"/>
                      <w:color w:val="0070C0"/>
                      <w:sz w:val="21"/>
                    </w:rPr>
                  </w:pPr>
                </w:p>
              </w:tc>
              <w:tc>
                <w:tcPr>
                  <w:tcW w:w="603"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X/m</w:t>
                  </w:r>
                </w:p>
              </w:tc>
              <w:tc>
                <w:tcPr>
                  <w:tcW w:w="544"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Y/m</w:t>
                  </w:r>
                </w:p>
              </w:tc>
              <w:tc>
                <w:tcPr>
                  <w:tcW w:w="348" w:type="pct"/>
                  <w:vMerge w:val="continue"/>
                  <w:vAlign w:val="center"/>
                </w:tcPr>
                <w:p>
                  <w:pPr>
                    <w:pStyle w:val="32"/>
                    <w:tabs>
                      <w:tab w:val="left" w:pos="2076"/>
                    </w:tabs>
                    <w:spacing w:after="0"/>
                    <w:ind w:left="0" w:leftChars="0" w:firstLine="0" w:firstLineChars="0"/>
                    <w:jc w:val="center"/>
                    <w:rPr>
                      <w:rFonts w:cs="Times New Roman"/>
                      <w:color w:val="0070C0"/>
                      <w:sz w:val="21"/>
                    </w:rPr>
                  </w:pPr>
                </w:p>
              </w:tc>
              <w:tc>
                <w:tcPr>
                  <w:tcW w:w="257" w:type="pct"/>
                  <w:vMerge w:val="continue"/>
                  <w:vAlign w:val="center"/>
                </w:tcPr>
                <w:p>
                  <w:pPr>
                    <w:pStyle w:val="32"/>
                    <w:tabs>
                      <w:tab w:val="left" w:pos="2076"/>
                    </w:tabs>
                    <w:spacing w:after="0"/>
                    <w:ind w:left="0" w:leftChars="0" w:firstLine="0" w:firstLineChars="0"/>
                    <w:jc w:val="center"/>
                    <w:rPr>
                      <w:rFonts w:cs="Times New Roman"/>
                      <w:color w:val="0070C0"/>
                      <w:sz w:val="21"/>
                    </w:rPr>
                  </w:pPr>
                </w:p>
              </w:tc>
              <w:tc>
                <w:tcPr>
                  <w:tcW w:w="297" w:type="pct"/>
                  <w:vMerge w:val="continue"/>
                  <w:vAlign w:val="center"/>
                </w:tcPr>
                <w:p>
                  <w:pPr>
                    <w:pStyle w:val="32"/>
                    <w:tabs>
                      <w:tab w:val="left" w:pos="2076"/>
                    </w:tabs>
                    <w:spacing w:after="0"/>
                    <w:ind w:left="0" w:leftChars="0" w:firstLine="0" w:firstLineChars="0"/>
                    <w:jc w:val="center"/>
                    <w:rPr>
                      <w:rFonts w:cs="Times New Roman"/>
                      <w:color w:val="0070C0"/>
                      <w:sz w:val="21"/>
                    </w:rPr>
                  </w:pPr>
                </w:p>
              </w:tc>
              <w:tc>
                <w:tcPr>
                  <w:tcW w:w="425" w:type="pct"/>
                  <w:vMerge w:val="continue"/>
                  <w:vAlign w:val="center"/>
                </w:tcPr>
                <w:p>
                  <w:pPr>
                    <w:pStyle w:val="32"/>
                    <w:tabs>
                      <w:tab w:val="left" w:pos="2076"/>
                    </w:tabs>
                    <w:spacing w:after="0"/>
                    <w:ind w:left="0" w:leftChars="0" w:firstLine="0" w:firstLineChars="0"/>
                    <w:jc w:val="center"/>
                    <w:rPr>
                      <w:rFonts w:cs="Times New Roman"/>
                      <w:color w:val="0070C0"/>
                      <w:sz w:val="21"/>
                    </w:rPr>
                  </w:pPr>
                </w:p>
              </w:tc>
              <w:tc>
                <w:tcPr>
                  <w:tcW w:w="601" w:type="pct"/>
                  <w:vMerge w:val="continue"/>
                  <w:vAlign w:val="center"/>
                </w:tcPr>
                <w:p>
                  <w:pPr>
                    <w:pStyle w:val="32"/>
                    <w:tabs>
                      <w:tab w:val="left" w:pos="2076"/>
                    </w:tabs>
                    <w:spacing w:after="0"/>
                    <w:ind w:left="0" w:leftChars="0" w:firstLine="0" w:firstLineChars="0"/>
                    <w:jc w:val="center"/>
                    <w:rPr>
                      <w:rFonts w:cs="Times New Roman"/>
                      <w:color w:val="0070C0"/>
                      <w:sz w:val="21"/>
                    </w:rPr>
                  </w:pPr>
                </w:p>
              </w:tc>
              <w:tc>
                <w:tcPr>
                  <w:tcW w:w="321" w:type="pct"/>
                  <w:vMerge w:val="continue"/>
                  <w:vAlign w:val="center"/>
                </w:tcPr>
                <w:p>
                  <w:pPr>
                    <w:pStyle w:val="32"/>
                    <w:tabs>
                      <w:tab w:val="left" w:pos="2076"/>
                    </w:tabs>
                    <w:spacing w:after="0"/>
                    <w:ind w:left="0" w:leftChars="0" w:firstLine="0" w:firstLineChars="0"/>
                    <w:jc w:val="center"/>
                    <w:rPr>
                      <w:rFonts w:cs="Times New Roman"/>
                      <w:color w:val="0070C0"/>
                      <w:sz w:val="21"/>
                    </w:rPr>
                  </w:pPr>
                </w:p>
              </w:tc>
              <w:tc>
                <w:tcPr>
                  <w:tcW w:w="408" w:type="pct"/>
                  <w:vMerge w:val="continue"/>
                  <w:vAlign w:val="center"/>
                </w:tcPr>
                <w:p>
                  <w:pPr>
                    <w:pStyle w:val="32"/>
                    <w:tabs>
                      <w:tab w:val="left" w:pos="2076"/>
                    </w:tabs>
                    <w:spacing w:after="0"/>
                    <w:ind w:left="0" w:leftChars="0" w:firstLine="0" w:firstLineChars="0"/>
                    <w:jc w:val="center"/>
                    <w:rPr>
                      <w:rFonts w:cs="Times New Roman"/>
                      <w:color w:val="0070C0"/>
                      <w:sz w:val="21"/>
                    </w:rPr>
                  </w:pPr>
                </w:p>
              </w:tc>
              <w:tc>
                <w:tcPr>
                  <w:tcW w:w="579" w:type="pct"/>
                  <w:vMerge w:val="continue"/>
                  <w:vAlign w:val="center"/>
                </w:tcPr>
                <w:p>
                  <w:pPr>
                    <w:pStyle w:val="32"/>
                    <w:tabs>
                      <w:tab w:val="left" w:pos="2076"/>
                    </w:tabs>
                    <w:spacing w:after="0"/>
                    <w:ind w:left="0" w:leftChars="0" w:firstLine="0" w:firstLineChars="0"/>
                    <w:jc w:val="center"/>
                    <w:rPr>
                      <w:rFonts w:cs="Times New Roman"/>
                      <w:color w:val="0070C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133"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1</w:t>
                  </w:r>
                </w:p>
              </w:tc>
              <w:tc>
                <w:tcPr>
                  <w:tcW w:w="485"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砂石堆场</w:t>
                  </w:r>
                </w:p>
              </w:tc>
              <w:tc>
                <w:tcPr>
                  <w:tcW w:w="603" w:type="pct"/>
                  <w:vAlign w:val="center"/>
                </w:tcPr>
                <w:p>
                  <w:pPr>
                    <w:jc w:val="center"/>
                    <w:rPr>
                      <w:rFonts w:cs="Times New Roman"/>
                      <w:color w:val="0070C0"/>
                      <w:sz w:val="21"/>
                    </w:rPr>
                  </w:pPr>
                  <w:r>
                    <w:rPr>
                      <w:rFonts w:cs="Times New Roman"/>
                      <w:color w:val="0070C0"/>
                      <w:sz w:val="21"/>
                    </w:rPr>
                    <w:t>113.220913</w:t>
                  </w:r>
                </w:p>
              </w:tc>
              <w:tc>
                <w:tcPr>
                  <w:tcW w:w="544" w:type="pct"/>
                  <w:vAlign w:val="center"/>
                </w:tcPr>
                <w:p>
                  <w:pPr>
                    <w:jc w:val="center"/>
                    <w:rPr>
                      <w:rFonts w:cs="Times New Roman"/>
                      <w:color w:val="0070C0"/>
                      <w:sz w:val="21"/>
                    </w:rPr>
                  </w:pPr>
                  <w:r>
                    <w:rPr>
                      <w:rFonts w:cs="Times New Roman"/>
                      <w:color w:val="0070C0"/>
                      <w:sz w:val="21"/>
                    </w:rPr>
                    <w:t>29.488321</w:t>
                  </w:r>
                </w:p>
              </w:tc>
              <w:tc>
                <w:tcPr>
                  <w:tcW w:w="348"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28</w:t>
                  </w:r>
                </w:p>
              </w:tc>
              <w:tc>
                <w:tcPr>
                  <w:tcW w:w="257"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100</w:t>
                  </w:r>
                </w:p>
              </w:tc>
              <w:tc>
                <w:tcPr>
                  <w:tcW w:w="297"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20</w:t>
                  </w:r>
                </w:p>
              </w:tc>
              <w:tc>
                <w:tcPr>
                  <w:tcW w:w="425"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90</w:t>
                  </w:r>
                </w:p>
              </w:tc>
              <w:tc>
                <w:tcPr>
                  <w:tcW w:w="601"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10</w:t>
                  </w:r>
                </w:p>
              </w:tc>
              <w:tc>
                <w:tcPr>
                  <w:tcW w:w="321"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TSP</w:t>
                  </w:r>
                </w:p>
              </w:tc>
              <w:tc>
                <w:tcPr>
                  <w:tcW w:w="408" w:type="pct"/>
                  <w:vAlign w:val="center"/>
                </w:tcPr>
                <w:p>
                  <w:pPr>
                    <w:jc w:val="center"/>
                    <w:rPr>
                      <w:rFonts w:cs="Times New Roman"/>
                      <w:color w:val="0070C0"/>
                      <w:sz w:val="21"/>
                    </w:rPr>
                  </w:pPr>
                  <w:r>
                    <w:rPr>
                      <w:rFonts w:cs="Times New Roman"/>
                      <w:color w:val="0070C0"/>
                      <w:sz w:val="21"/>
                    </w:rPr>
                    <w:t>2000</w:t>
                  </w:r>
                </w:p>
              </w:tc>
              <w:tc>
                <w:tcPr>
                  <w:tcW w:w="579" w:type="pct"/>
                  <w:vAlign w:val="center"/>
                </w:tcPr>
                <w:p>
                  <w:pPr>
                    <w:jc w:val="center"/>
                    <w:rPr>
                      <w:rFonts w:cs="Times New Roman"/>
                      <w:color w:val="0070C0"/>
                      <w:sz w:val="21"/>
                    </w:rPr>
                  </w:pPr>
                  <w:r>
                    <w:rPr>
                      <w:rFonts w:cs="Times New Roman"/>
                      <w:color w:val="0070C0"/>
                      <w:sz w:val="21"/>
                    </w:rPr>
                    <w:t>0.0085kg/h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133"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2</w:t>
                  </w:r>
                </w:p>
              </w:tc>
              <w:tc>
                <w:tcPr>
                  <w:tcW w:w="485"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装卸料粉尘</w:t>
                  </w:r>
                </w:p>
              </w:tc>
              <w:tc>
                <w:tcPr>
                  <w:tcW w:w="603" w:type="pct"/>
                  <w:vAlign w:val="center"/>
                </w:tcPr>
                <w:p>
                  <w:pPr>
                    <w:jc w:val="center"/>
                    <w:rPr>
                      <w:rFonts w:cs="Times New Roman"/>
                      <w:color w:val="0070C0"/>
                      <w:sz w:val="21"/>
                    </w:rPr>
                  </w:pPr>
                  <w:r>
                    <w:rPr>
                      <w:rFonts w:cs="Times New Roman"/>
                      <w:color w:val="0070C0"/>
                      <w:sz w:val="21"/>
                    </w:rPr>
                    <w:t>113.220034</w:t>
                  </w:r>
                </w:p>
              </w:tc>
              <w:tc>
                <w:tcPr>
                  <w:tcW w:w="544" w:type="pct"/>
                  <w:vAlign w:val="center"/>
                </w:tcPr>
                <w:p>
                  <w:pPr>
                    <w:jc w:val="center"/>
                    <w:rPr>
                      <w:rFonts w:cs="Times New Roman"/>
                      <w:color w:val="0070C0"/>
                      <w:sz w:val="21"/>
                    </w:rPr>
                  </w:pPr>
                  <w:r>
                    <w:rPr>
                      <w:rFonts w:cs="Times New Roman"/>
                      <w:color w:val="0070C0"/>
                      <w:sz w:val="21"/>
                    </w:rPr>
                    <w:t>29.487798</w:t>
                  </w:r>
                </w:p>
              </w:tc>
              <w:tc>
                <w:tcPr>
                  <w:tcW w:w="348"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28</w:t>
                  </w:r>
                </w:p>
              </w:tc>
              <w:tc>
                <w:tcPr>
                  <w:tcW w:w="257"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80</w:t>
                  </w:r>
                </w:p>
              </w:tc>
              <w:tc>
                <w:tcPr>
                  <w:tcW w:w="297"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20</w:t>
                  </w:r>
                </w:p>
              </w:tc>
              <w:tc>
                <w:tcPr>
                  <w:tcW w:w="425"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90</w:t>
                  </w:r>
                </w:p>
              </w:tc>
              <w:tc>
                <w:tcPr>
                  <w:tcW w:w="601"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10</w:t>
                  </w:r>
                </w:p>
              </w:tc>
              <w:tc>
                <w:tcPr>
                  <w:tcW w:w="321"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TSP</w:t>
                  </w:r>
                </w:p>
              </w:tc>
              <w:tc>
                <w:tcPr>
                  <w:tcW w:w="408" w:type="pct"/>
                  <w:vAlign w:val="center"/>
                </w:tcPr>
                <w:p>
                  <w:pPr>
                    <w:jc w:val="center"/>
                    <w:rPr>
                      <w:rFonts w:cs="Times New Roman"/>
                      <w:color w:val="0070C0"/>
                      <w:sz w:val="21"/>
                    </w:rPr>
                  </w:pPr>
                  <w:r>
                    <w:rPr>
                      <w:rFonts w:cs="Times New Roman"/>
                      <w:color w:val="0070C0"/>
                      <w:sz w:val="21"/>
                    </w:rPr>
                    <w:t>2000</w:t>
                  </w:r>
                </w:p>
              </w:tc>
              <w:tc>
                <w:tcPr>
                  <w:tcW w:w="579" w:type="pct"/>
                  <w:vAlign w:val="center"/>
                </w:tcPr>
                <w:p>
                  <w:pPr>
                    <w:jc w:val="center"/>
                    <w:rPr>
                      <w:rFonts w:cs="Times New Roman"/>
                      <w:color w:val="0070C0"/>
                      <w:sz w:val="21"/>
                    </w:rPr>
                  </w:pPr>
                  <w:r>
                    <w:rPr>
                      <w:rFonts w:hint="eastAsia" w:cs="Times New Roman"/>
                      <w:color w:val="0070C0"/>
                      <w:sz w:val="21"/>
                      <w:lang w:val="en-US" w:eastAsia="zh-CN"/>
                    </w:rPr>
                    <w:t>0.25</w:t>
                  </w:r>
                  <w:r>
                    <w:rPr>
                      <w:rFonts w:cs="Times New Roman"/>
                      <w:color w:val="0070C0"/>
                      <w:sz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133"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3</w:t>
                  </w:r>
                </w:p>
              </w:tc>
              <w:tc>
                <w:tcPr>
                  <w:tcW w:w="485"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筒仓粉尘</w:t>
                  </w:r>
                </w:p>
              </w:tc>
              <w:tc>
                <w:tcPr>
                  <w:tcW w:w="603" w:type="pct"/>
                  <w:vAlign w:val="center"/>
                </w:tcPr>
                <w:p>
                  <w:pPr>
                    <w:jc w:val="center"/>
                    <w:rPr>
                      <w:rFonts w:cs="Times New Roman"/>
                      <w:color w:val="0070C0"/>
                      <w:sz w:val="21"/>
                    </w:rPr>
                  </w:pPr>
                  <w:r>
                    <w:rPr>
                      <w:rFonts w:cs="Times New Roman"/>
                      <w:color w:val="0070C0"/>
                      <w:sz w:val="21"/>
                    </w:rPr>
                    <w:t>113.21378</w:t>
                  </w:r>
                </w:p>
              </w:tc>
              <w:tc>
                <w:tcPr>
                  <w:tcW w:w="544" w:type="pct"/>
                  <w:vAlign w:val="center"/>
                </w:tcPr>
                <w:p>
                  <w:pPr>
                    <w:jc w:val="center"/>
                    <w:rPr>
                      <w:rFonts w:cs="Times New Roman"/>
                      <w:color w:val="0070C0"/>
                      <w:sz w:val="21"/>
                    </w:rPr>
                  </w:pPr>
                  <w:r>
                    <w:rPr>
                      <w:rFonts w:cs="Times New Roman"/>
                      <w:color w:val="0070C0"/>
                      <w:sz w:val="21"/>
                    </w:rPr>
                    <w:t>29.491986</w:t>
                  </w:r>
                </w:p>
              </w:tc>
              <w:tc>
                <w:tcPr>
                  <w:tcW w:w="348"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36</w:t>
                  </w:r>
                </w:p>
              </w:tc>
              <w:tc>
                <w:tcPr>
                  <w:tcW w:w="257"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106</w:t>
                  </w:r>
                </w:p>
              </w:tc>
              <w:tc>
                <w:tcPr>
                  <w:tcW w:w="297"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66</w:t>
                  </w:r>
                </w:p>
              </w:tc>
              <w:tc>
                <w:tcPr>
                  <w:tcW w:w="425"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90</w:t>
                  </w:r>
                </w:p>
              </w:tc>
              <w:tc>
                <w:tcPr>
                  <w:tcW w:w="601" w:type="pct"/>
                  <w:vAlign w:val="center"/>
                </w:tcPr>
                <w:p>
                  <w:pPr>
                    <w:pStyle w:val="32"/>
                    <w:tabs>
                      <w:tab w:val="left" w:pos="2076"/>
                    </w:tabs>
                    <w:spacing w:after="0"/>
                    <w:ind w:left="0" w:leftChars="0" w:firstLine="0" w:firstLineChars="0"/>
                    <w:jc w:val="center"/>
                    <w:rPr>
                      <w:rFonts w:cs="Times New Roman"/>
                      <w:color w:val="0070C0"/>
                      <w:sz w:val="21"/>
                    </w:rPr>
                  </w:pPr>
                  <w:r>
                    <w:rPr>
                      <w:rFonts w:hint="eastAsia" w:cs="Times New Roman"/>
                      <w:color w:val="0070C0"/>
                      <w:sz w:val="21"/>
                    </w:rPr>
                    <w:t>10</w:t>
                  </w:r>
                </w:p>
              </w:tc>
              <w:tc>
                <w:tcPr>
                  <w:tcW w:w="321" w:type="pct"/>
                  <w:vAlign w:val="center"/>
                </w:tcPr>
                <w:p>
                  <w:pPr>
                    <w:pStyle w:val="32"/>
                    <w:tabs>
                      <w:tab w:val="left" w:pos="2076"/>
                    </w:tabs>
                    <w:spacing w:after="0"/>
                    <w:ind w:left="0" w:leftChars="0" w:firstLine="0" w:firstLineChars="0"/>
                    <w:jc w:val="center"/>
                    <w:rPr>
                      <w:rFonts w:cs="Times New Roman"/>
                      <w:color w:val="0070C0"/>
                      <w:sz w:val="21"/>
                    </w:rPr>
                  </w:pPr>
                  <w:r>
                    <w:rPr>
                      <w:rFonts w:cs="Times New Roman"/>
                      <w:color w:val="0070C0"/>
                      <w:sz w:val="21"/>
                    </w:rPr>
                    <w:t>TSP</w:t>
                  </w:r>
                </w:p>
              </w:tc>
              <w:tc>
                <w:tcPr>
                  <w:tcW w:w="408" w:type="pct"/>
                  <w:vAlign w:val="center"/>
                </w:tcPr>
                <w:p>
                  <w:pPr>
                    <w:jc w:val="center"/>
                    <w:rPr>
                      <w:rFonts w:cs="Times New Roman"/>
                      <w:color w:val="0070C0"/>
                      <w:sz w:val="21"/>
                    </w:rPr>
                  </w:pPr>
                  <w:r>
                    <w:rPr>
                      <w:rFonts w:hint="eastAsia" w:cs="Times New Roman"/>
                      <w:color w:val="0070C0"/>
                      <w:sz w:val="21"/>
                    </w:rPr>
                    <w:t>2000</w:t>
                  </w:r>
                </w:p>
              </w:tc>
              <w:tc>
                <w:tcPr>
                  <w:tcW w:w="579" w:type="pct"/>
                  <w:vAlign w:val="center"/>
                </w:tcPr>
                <w:p>
                  <w:pPr>
                    <w:jc w:val="center"/>
                    <w:rPr>
                      <w:rFonts w:cs="Times New Roman"/>
                      <w:color w:val="0070C0"/>
                      <w:sz w:val="21"/>
                    </w:rPr>
                  </w:pPr>
                  <w:r>
                    <w:rPr>
                      <w:rFonts w:hint="eastAsia" w:cs="Times New Roman"/>
                      <w:color w:val="0070C0"/>
                      <w:sz w:val="21"/>
                      <w:lang w:val="en-US" w:eastAsia="zh-CN"/>
                    </w:rPr>
                    <w:t>0.09</w:t>
                  </w:r>
                  <w:r>
                    <w:rPr>
                      <w:rFonts w:cs="Times New Roman"/>
                      <w:color w:val="0070C0"/>
                      <w:sz w:val="21"/>
                    </w:rPr>
                    <w:t>kg/h</w:t>
                  </w:r>
                </w:p>
              </w:tc>
            </w:tr>
          </w:tbl>
          <w:p>
            <w:pPr>
              <w:keepNext/>
              <w:autoSpaceDE w:val="0"/>
              <w:autoSpaceDN w:val="0"/>
              <w:adjustRightInd w:val="0"/>
              <w:spacing w:line="360" w:lineRule="auto"/>
              <w:ind w:firstLine="480" w:firstLineChars="200"/>
              <w:jc w:val="left"/>
              <w:rPr>
                <w:rFonts w:cs="Times New Roman"/>
                <w:szCs w:val="24"/>
              </w:rPr>
            </w:pPr>
            <w:r>
              <w:rPr>
                <w:rFonts w:cs="Times New Roman"/>
                <w:szCs w:val="24"/>
              </w:rPr>
              <w:t>②评价工作等级确定</w:t>
            </w:r>
          </w:p>
          <w:p>
            <w:pPr>
              <w:keepNext/>
              <w:autoSpaceDE w:val="0"/>
              <w:autoSpaceDN w:val="0"/>
              <w:adjustRightInd w:val="0"/>
              <w:spacing w:line="360" w:lineRule="auto"/>
              <w:ind w:firstLine="480" w:firstLineChars="200"/>
              <w:jc w:val="left"/>
              <w:rPr>
                <w:rFonts w:cs="Times New Roman"/>
                <w:szCs w:val="24"/>
              </w:rPr>
            </w:pPr>
            <w:r>
              <w:rPr>
                <w:rFonts w:cs="Times New Roman"/>
                <w:szCs w:val="24"/>
              </w:rPr>
              <w:t>本项目所有污染源正常排放的污染物的和D10%预测结果如下：</w:t>
            </w:r>
          </w:p>
          <w:p>
            <w:pPr>
              <w:keepNext/>
              <w:autoSpaceDE w:val="0"/>
              <w:autoSpaceDN w:val="0"/>
              <w:adjustRightInd w:val="0"/>
              <w:ind w:firstLine="422" w:firstLineChars="200"/>
              <w:jc w:val="center"/>
              <w:rPr>
                <w:rFonts w:cs="Times New Roman"/>
                <w:b/>
                <w:sz w:val="21"/>
              </w:rPr>
            </w:pPr>
            <w:r>
              <w:rPr>
                <w:rFonts w:cs="Times New Roman"/>
                <w:b/>
                <w:sz w:val="21"/>
              </w:rPr>
              <w:t>表</w:t>
            </w:r>
            <w:r>
              <w:rPr>
                <w:rFonts w:cs="Times New Roman"/>
                <w:b/>
                <w:sz w:val="21"/>
              </w:rPr>
              <w:fldChar w:fldCharType="begin"/>
            </w:r>
            <w:r>
              <w:rPr>
                <w:rFonts w:cs="Times New Roman"/>
                <w:b/>
                <w:sz w:val="21"/>
              </w:rPr>
              <w:instrText xml:space="preserve"> STYLEREF 2 \s </w:instrText>
            </w:r>
            <w:r>
              <w:rPr>
                <w:rFonts w:cs="Times New Roman"/>
                <w:b/>
                <w:sz w:val="21"/>
              </w:rPr>
              <w:fldChar w:fldCharType="separate"/>
            </w:r>
            <w:r>
              <w:rPr>
                <w:rFonts w:cs="Times New Roman"/>
                <w:b/>
                <w:sz w:val="21"/>
              </w:rPr>
              <w:t>7.2</w:t>
            </w:r>
            <w:r>
              <w:rPr>
                <w:rFonts w:cs="Times New Roman"/>
                <w:b/>
                <w:sz w:val="21"/>
              </w:rPr>
              <w:fldChar w:fldCharType="end"/>
            </w:r>
            <w:r>
              <w:rPr>
                <w:rFonts w:cs="Times New Roman"/>
                <w:b/>
                <w:sz w:val="21"/>
              </w:rPr>
              <w:noBreakHyphen/>
            </w:r>
            <w:r>
              <w:rPr>
                <w:rFonts w:cs="Times New Roman"/>
                <w:b/>
                <w:sz w:val="21"/>
              </w:rPr>
              <w:fldChar w:fldCharType="begin"/>
            </w:r>
            <w:r>
              <w:rPr>
                <w:rFonts w:cs="Times New Roman"/>
                <w:b/>
                <w:sz w:val="21"/>
              </w:rPr>
              <w:instrText xml:space="preserve"> SEQ 表 \* ARABIC \s 2 </w:instrText>
            </w:r>
            <w:r>
              <w:rPr>
                <w:rFonts w:cs="Times New Roman"/>
                <w:b/>
                <w:sz w:val="21"/>
              </w:rPr>
              <w:fldChar w:fldCharType="separate"/>
            </w:r>
            <w:r>
              <w:rPr>
                <w:rFonts w:cs="Times New Roman"/>
                <w:b/>
                <w:sz w:val="21"/>
              </w:rPr>
              <w:t>10</w:t>
            </w:r>
            <w:r>
              <w:rPr>
                <w:rFonts w:cs="Times New Roman"/>
                <w:b/>
                <w:sz w:val="21"/>
              </w:rPr>
              <w:fldChar w:fldCharType="end"/>
            </w:r>
            <w:r>
              <w:rPr>
                <w:rFonts w:cs="Times New Roman"/>
                <w:b/>
                <w:sz w:val="21"/>
              </w:rPr>
              <w:t xml:space="preserve">  P</w:t>
            </w:r>
            <w:r>
              <w:rPr>
                <w:rFonts w:cs="Times New Roman"/>
                <w:b/>
                <w:sz w:val="21"/>
                <w:vertAlign w:val="subscript"/>
              </w:rPr>
              <w:t>max</w:t>
            </w:r>
            <w:r>
              <w:rPr>
                <w:rFonts w:cs="Times New Roman"/>
                <w:b/>
                <w:sz w:val="21"/>
              </w:rPr>
              <w:t>和D</w:t>
            </w:r>
            <w:r>
              <w:rPr>
                <w:rFonts w:cs="Times New Roman"/>
                <w:b/>
                <w:sz w:val="21"/>
                <w:vertAlign w:val="subscript"/>
              </w:rPr>
              <w:t>10%</w:t>
            </w:r>
            <w:r>
              <w:rPr>
                <w:rFonts w:cs="Times New Roman"/>
                <w:b/>
                <w:sz w:val="21"/>
              </w:rPr>
              <w:t>预测和计算结果一览表</w:t>
            </w:r>
          </w:p>
          <w:tbl>
            <w:tblPr>
              <w:tblStyle w:val="33"/>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11"/>
              <w:gridCol w:w="1178"/>
              <w:gridCol w:w="1896"/>
              <w:gridCol w:w="1517"/>
              <w:gridCol w:w="1126"/>
              <w:gridCol w:w="11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4" w:hRule="atLeast"/>
              </w:trPr>
              <w:tc>
                <w:tcPr>
                  <w:tcW w:w="849" w:type="pct"/>
                  <w:tcBorders>
                    <w:top w:val="single" w:color="auto" w:sz="2"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污染源名称</w:t>
                  </w:r>
                </w:p>
              </w:tc>
              <w:tc>
                <w:tcPr>
                  <w:tcW w:w="709" w:type="pct"/>
                  <w:tcBorders>
                    <w:top w:val="single" w:color="auto" w:sz="2"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评价因子</w:t>
                  </w:r>
                </w:p>
              </w:tc>
              <w:tc>
                <w:tcPr>
                  <w:tcW w:w="1141" w:type="pct"/>
                  <w:tcBorders>
                    <w:top w:val="single" w:color="auto" w:sz="2"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评价标准(μg/m³)</w:t>
                  </w:r>
                </w:p>
              </w:tc>
              <w:tc>
                <w:tcPr>
                  <w:tcW w:w="913" w:type="pct"/>
                  <w:tcBorders>
                    <w:top w:val="single" w:color="auto" w:sz="2"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Cmax(μg/m³)</w:t>
                  </w:r>
                </w:p>
              </w:tc>
              <w:tc>
                <w:tcPr>
                  <w:tcW w:w="677" w:type="pct"/>
                  <w:tcBorders>
                    <w:top w:val="single" w:color="auto" w:sz="2"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Pmax(%)</w:t>
                  </w:r>
                </w:p>
              </w:tc>
              <w:tc>
                <w:tcPr>
                  <w:tcW w:w="709" w:type="pct"/>
                  <w:tcBorders>
                    <w:top w:val="single" w:color="auto" w:sz="2" w:space="0"/>
                    <w:left w:val="single" w:color="auto" w:sz="2"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D10%(m)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849"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hint="eastAsia" w:cs="Times New Roman"/>
                      <w:sz w:val="21"/>
                    </w:rPr>
                    <w:t>筒仓粉尘</w:t>
                  </w:r>
                </w:p>
              </w:tc>
              <w:tc>
                <w:tcPr>
                  <w:tcW w:w="709"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TSP</w:t>
                  </w:r>
                </w:p>
              </w:tc>
              <w:tc>
                <w:tcPr>
                  <w:tcW w:w="1141"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900.0</w:t>
                  </w:r>
                </w:p>
              </w:tc>
              <w:tc>
                <w:tcPr>
                  <w:tcW w:w="913"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hint="default" w:cs="Times New Roman" w:eastAsiaTheme="minorEastAsia"/>
                      <w:sz w:val="21"/>
                      <w:lang w:val="en-US" w:eastAsia="zh-CN"/>
                    </w:rPr>
                  </w:pPr>
                  <w:r>
                    <w:rPr>
                      <w:rFonts w:hint="eastAsia" w:cs="Times New Roman"/>
                      <w:sz w:val="21"/>
                      <w:lang w:val="en-US" w:eastAsia="zh-CN"/>
                    </w:rPr>
                    <w:t>43.446</w:t>
                  </w:r>
                </w:p>
              </w:tc>
              <w:tc>
                <w:tcPr>
                  <w:tcW w:w="677"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hint="default" w:cs="Times New Roman" w:eastAsiaTheme="minorEastAsia"/>
                      <w:sz w:val="21"/>
                      <w:lang w:val="en-US" w:eastAsia="zh-CN"/>
                    </w:rPr>
                  </w:pPr>
                  <w:r>
                    <w:rPr>
                      <w:rFonts w:hint="eastAsia" w:cs="Times New Roman"/>
                      <w:sz w:val="21"/>
                      <w:lang w:val="en-US" w:eastAsia="zh-CN"/>
                    </w:rPr>
                    <w:t>4.827</w:t>
                  </w:r>
                </w:p>
              </w:tc>
              <w:tc>
                <w:tcPr>
                  <w:tcW w:w="709" w:type="pct"/>
                  <w:tcBorders>
                    <w:top w:val="single" w:color="auto" w:sz="4" w:space="0"/>
                    <w:left w:val="single" w:color="auto" w:sz="2"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4" w:hRule="atLeast"/>
              </w:trPr>
              <w:tc>
                <w:tcPr>
                  <w:tcW w:w="849"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砂石堆场</w:t>
                  </w:r>
                </w:p>
              </w:tc>
              <w:tc>
                <w:tcPr>
                  <w:tcW w:w="709"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TSP</w:t>
                  </w:r>
                </w:p>
              </w:tc>
              <w:tc>
                <w:tcPr>
                  <w:tcW w:w="1141"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900.0</w:t>
                  </w:r>
                </w:p>
              </w:tc>
              <w:tc>
                <w:tcPr>
                  <w:tcW w:w="913"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hint="default" w:cs="Times New Roman" w:eastAsiaTheme="minorEastAsia"/>
                      <w:sz w:val="21"/>
                      <w:lang w:val="en-US" w:eastAsia="zh-CN"/>
                    </w:rPr>
                  </w:pPr>
                  <w:r>
                    <w:rPr>
                      <w:rFonts w:hint="eastAsia" w:cs="Times New Roman"/>
                      <w:sz w:val="21"/>
                      <w:lang w:val="en-US" w:eastAsia="zh-CN"/>
                    </w:rPr>
                    <w:t>11.842</w:t>
                  </w:r>
                </w:p>
              </w:tc>
              <w:tc>
                <w:tcPr>
                  <w:tcW w:w="677"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hint="default" w:cs="Times New Roman" w:eastAsiaTheme="minorEastAsia"/>
                      <w:sz w:val="21"/>
                      <w:lang w:val="en-US" w:eastAsia="zh-CN"/>
                    </w:rPr>
                  </w:pPr>
                  <w:r>
                    <w:rPr>
                      <w:rFonts w:hint="eastAsia" w:cs="Times New Roman"/>
                      <w:sz w:val="21"/>
                      <w:lang w:val="en-US" w:eastAsia="zh-CN"/>
                    </w:rPr>
                    <w:t>1.316</w:t>
                  </w:r>
                </w:p>
              </w:tc>
              <w:tc>
                <w:tcPr>
                  <w:tcW w:w="709" w:type="pct"/>
                  <w:tcBorders>
                    <w:top w:val="single" w:color="auto" w:sz="4" w:space="0"/>
                    <w:left w:val="single" w:color="auto" w:sz="2"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6" w:hRule="atLeast"/>
              </w:trPr>
              <w:tc>
                <w:tcPr>
                  <w:tcW w:w="849"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搅拌机排气筒</w:t>
                  </w:r>
                  <w:r>
                    <w:rPr>
                      <w:rFonts w:hint="eastAsia" w:cs="Times New Roman"/>
                      <w:sz w:val="21"/>
                    </w:rPr>
                    <w:t>的</w:t>
                  </w:r>
                  <w:r>
                    <w:rPr>
                      <w:rFonts w:cs="Times New Roman"/>
                      <w:sz w:val="21"/>
                    </w:rPr>
                    <w:t>排气筒</w:t>
                  </w:r>
                  <w:r>
                    <w:rPr>
                      <w:rFonts w:hint="eastAsia" w:cs="Times New Roman"/>
                      <w:sz w:val="21"/>
                    </w:rPr>
                    <w:t>DA001</w:t>
                  </w:r>
                </w:p>
              </w:tc>
              <w:tc>
                <w:tcPr>
                  <w:tcW w:w="709"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PM</w:t>
                  </w:r>
                  <w:r>
                    <w:rPr>
                      <w:rFonts w:cs="Times New Roman"/>
                      <w:sz w:val="21"/>
                      <w:vertAlign w:val="subscript"/>
                    </w:rPr>
                    <w:t>10</w:t>
                  </w:r>
                </w:p>
              </w:tc>
              <w:tc>
                <w:tcPr>
                  <w:tcW w:w="1141"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450.0</w:t>
                  </w:r>
                </w:p>
              </w:tc>
              <w:tc>
                <w:tcPr>
                  <w:tcW w:w="913"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hint="default" w:cs="Times New Roman" w:eastAsiaTheme="minorEastAsia"/>
                      <w:sz w:val="21"/>
                      <w:lang w:val="en-US" w:eastAsia="zh-CN"/>
                    </w:rPr>
                  </w:pPr>
                  <w:r>
                    <w:rPr>
                      <w:rFonts w:hint="eastAsia" w:cs="Times New Roman"/>
                      <w:sz w:val="21"/>
                      <w:lang w:val="en-US" w:eastAsia="zh-CN"/>
                    </w:rPr>
                    <w:t>0.198</w:t>
                  </w:r>
                </w:p>
              </w:tc>
              <w:tc>
                <w:tcPr>
                  <w:tcW w:w="677"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hint="default" w:cs="Times New Roman" w:eastAsiaTheme="minorEastAsia"/>
                      <w:sz w:val="21"/>
                      <w:lang w:val="en-US" w:eastAsia="zh-CN"/>
                    </w:rPr>
                  </w:pPr>
                  <w:r>
                    <w:rPr>
                      <w:rFonts w:hint="eastAsia" w:cs="Times New Roman"/>
                      <w:sz w:val="21"/>
                      <w:lang w:val="en-US" w:eastAsia="zh-CN"/>
                    </w:rPr>
                    <w:t>0.044</w:t>
                  </w:r>
                </w:p>
              </w:tc>
              <w:tc>
                <w:tcPr>
                  <w:tcW w:w="709" w:type="pct"/>
                  <w:tcBorders>
                    <w:top w:val="single" w:color="auto" w:sz="4" w:space="0"/>
                    <w:left w:val="single" w:color="auto" w:sz="2"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2" w:hRule="atLeast"/>
              </w:trPr>
              <w:tc>
                <w:tcPr>
                  <w:tcW w:w="849"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装卸料粉尘</w:t>
                  </w:r>
                </w:p>
              </w:tc>
              <w:tc>
                <w:tcPr>
                  <w:tcW w:w="709"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TSP</w:t>
                  </w:r>
                </w:p>
              </w:tc>
              <w:tc>
                <w:tcPr>
                  <w:tcW w:w="1141"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cs="Times New Roman"/>
                      <w:sz w:val="21"/>
                    </w:rPr>
                  </w:pPr>
                  <w:r>
                    <w:rPr>
                      <w:rFonts w:cs="Times New Roman"/>
                      <w:sz w:val="21"/>
                    </w:rPr>
                    <w:t>900.0</w:t>
                  </w:r>
                </w:p>
              </w:tc>
              <w:tc>
                <w:tcPr>
                  <w:tcW w:w="913"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hint="default" w:cs="Times New Roman" w:eastAsiaTheme="minorEastAsia"/>
                      <w:sz w:val="21"/>
                      <w:lang w:val="en-US" w:eastAsia="zh-CN"/>
                    </w:rPr>
                  </w:pPr>
                  <w:r>
                    <w:rPr>
                      <w:rFonts w:hint="eastAsia" w:cs="Times New Roman"/>
                      <w:sz w:val="21"/>
                      <w:lang w:val="en-US" w:eastAsia="zh-CN"/>
                    </w:rPr>
                    <w:t>86.392</w:t>
                  </w:r>
                </w:p>
              </w:tc>
              <w:tc>
                <w:tcPr>
                  <w:tcW w:w="677" w:type="pct"/>
                  <w:tcBorders>
                    <w:top w:val="single" w:color="auto" w:sz="4" w:space="0"/>
                    <w:left w:val="single" w:color="auto" w:sz="2" w:space="0"/>
                    <w:bottom w:val="single" w:color="auto" w:sz="4" w:space="0"/>
                    <w:right w:val="single" w:color="auto" w:sz="2" w:space="0"/>
                  </w:tcBorders>
                  <w:vAlign w:val="center"/>
                </w:tcPr>
                <w:p>
                  <w:pPr>
                    <w:adjustRightInd w:val="0"/>
                    <w:snapToGrid w:val="0"/>
                    <w:jc w:val="center"/>
                    <w:rPr>
                      <w:rFonts w:hint="default" w:cs="Times New Roman" w:eastAsiaTheme="minorEastAsia"/>
                      <w:sz w:val="21"/>
                      <w:lang w:val="en-US" w:eastAsia="zh-CN"/>
                    </w:rPr>
                  </w:pPr>
                  <w:r>
                    <w:rPr>
                      <w:rFonts w:hint="eastAsia" w:cs="Times New Roman"/>
                      <w:sz w:val="21"/>
                      <w:lang w:val="en-US" w:eastAsia="zh-CN"/>
                    </w:rPr>
                    <w:t>9.599</w:t>
                  </w:r>
                </w:p>
              </w:tc>
              <w:tc>
                <w:tcPr>
                  <w:tcW w:w="709" w:type="pct"/>
                  <w:tcBorders>
                    <w:top w:val="single" w:color="auto" w:sz="4" w:space="0"/>
                    <w:left w:val="single" w:color="auto" w:sz="2"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w:t>
                  </w:r>
                </w:p>
              </w:tc>
            </w:tr>
          </w:tbl>
          <w:p>
            <w:pPr>
              <w:pStyle w:val="15"/>
              <w:spacing w:line="240" w:lineRule="auto"/>
              <w:jc w:val="left"/>
              <w:rPr>
                <w:rFonts w:cs="Times New Roman" w:eastAsiaTheme="minorEastAsia"/>
                <w:sz w:val="21"/>
                <w:szCs w:val="21"/>
              </w:rPr>
            </w:pPr>
            <w:r>
              <w:rPr>
                <w:rFonts w:cs="Times New Roman" w:eastAsiaTheme="minorEastAsia"/>
                <w:kern w:val="0"/>
                <w:sz w:val="21"/>
                <w:szCs w:val="21"/>
              </w:rPr>
              <w:t>*备注：换算时</w:t>
            </w:r>
            <w:r>
              <w:rPr>
                <w:rFonts w:cs="Times New Roman" w:eastAsiaTheme="minorEastAsia"/>
                <w:sz w:val="21"/>
                <w:szCs w:val="21"/>
              </w:rPr>
              <w:t>PM</w:t>
            </w:r>
            <w:r>
              <w:rPr>
                <w:rFonts w:cs="Times New Roman" w:eastAsiaTheme="minorEastAsia"/>
                <w:sz w:val="21"/>
                <w:szCs w:val="21"/>
                <w:vertAlign w:val="subscript"/>
              </w:rPr>
              <w:t>10、</w:t>
            </w:r>
            <w:r>
              <w:rPr>
                <w:rFonts w:cs="Times New Roman" w:eastAsiaTheme="minorEastAsia"/>
                <w:sz w:val="21"/>
                <w:szCs w:val="21"/>
              </w:rPr>
              <w:t>TSP</w:t>
            </w:r>
            <w:r>
              <w:rPr>
                <w:rFonts w:cs="Times New Roman" w:eastAsiaTheme="minorEastAsia"/>
                <w:kern w:val="0"/>
                <w:sz w:val="21"/>
                <w:szCs w:val="21"/>
              </w:rPr>
              <w:t>小时浓度采用日均浓度三倍计。</w:t>
            </w:r>
          </w:p>
          <w:p>
            <w:pPr>
              <w:adjustRightInd w:val="0"/>
              <w:snapToGrid w:val="0"/>
              <w:spacing w:line="360" w:lineRule="auto"/>
              <w:ind w:firstLine="480" w:firstLineChars="200"/>
              <w:rPr>
                <w:rFonts w:hint="default" w:ascii="Times New Roman" w:hAnsi="Times New Roman" w:cs="Times New Roman"/>
                <w:color w:val="000000" w:themeColor="text1"/>
                <w:szCs w:val="24"/>
              </w:rPr>
            </w:pPr>
            <w:r>
              <w:rPr>
                <w:rFonts w:hint="default" w:ascii="Times New Roman" w:hAnsi="Times New Roman" w:cs="Times New Roman"/>
                <w:color w:val="000000" w:themeColor="text1"/>
                <w:szCs w:val="24"/>
              </w:rPr>
              <w:t>本项目P</w:t>
            </w:r>
            <w:r>
              <w:rPr>
                <w:rFonts w:hint="default" w:ascii="Times New Roman" w:hAnsi="Times New Roman" w:cs="Times New Roman"/>
                <w:color w:val="000000" w:themeColor="text1"/>
                <w:szCs w:val="24"/>
                <w:vertAlign w:val="subscript"/>
              </w:rPr>
              <w:t>max</w:t>
            </w:r>
            <w:r>
              <w:rPr>
                <w:rFonts w:hint="default" w:ascii="Times New Roman" w:hAnsi="Times New Roman" w:cs="Times New Roman"/>
                <w:color w:val="000000" w:themeColor="text1"/>
                <w:szCs w:val="24"/>
              </w:rPr>
              <w:t>最大值出现为</w:t>
            </w:r>
            <w:r>
              <w:rPr>
                <w:rFonts w:hint="default" w:ascii="Times New Roman" w:hAnsi="Times New Roman" w:cs="Times New Roman"/>
                <w:color w:val="000000" w:themeColor="text1"/>
                <w:szCs w:val="24"/>
                <w:lang w:eastAsia="zh-CN"/>
              </w:rPr>
              <w:t>装卸料</w:t>
            </w:r>
            <w:r>
              <w:rPr>
                <w:rFonts w:hint="default" w:ascii="Times New Roman" w:hAnsi="Times New Roman" w:cs="Times New Roman"/>
                <w:color w:val="000000" w:themeColor="text1"/>
                <w:szCs w:val="24"/>
              </w:rPr>
              <w:t>粉尘排放的TSP，P</w:t>
            </w:r>
            <w:r>
              <w:rPr>
                <w:rFonts w:hint="default" w:ascii="Times New Roman" w:hAnsi="Times New Roman" w:cs="Times New Roman"/>
                <w:color w:val="000000" w:themeColor="text1"/>
                <w:szCs w:val="24"/>
                <w:vertAlign w:val="subscript"/>
              </w:rPr>
              <w:t>max</w:t>
            </w:r>
            <w:r>
              <w:rPr>
                <w:rFonts w:hint="default" w:ascii="Times New Roman" w:hAnsi="Times New Roman" w:cs="Times New Roman"/>
                <w:color w:val="000000" w:themeColor="text1"/>
                <w:szCs w:val="24"/>
              </w:rPr>
              <w:t>值为</w:t>
            </w:r>
            <w:r>
              <w:rPr>
                <w:rFonts w:hint="default" w:ascii="Times New Roman" w:hAnsi="Times New Roman" w:cs="Times New Roman"/>
                <w:color w:val="000000" w:themeColor="text1"/>
                <w:szCs w:val="24"/>
                <w:lang w:val="en-US" w:eastAsia="zh-CN"/>
              </w:rPr>
              <w:t>9.5</w:t>
            </w:r>
            <w:r>
              <w:rPr>
                <w:rFonts w:hint="default" w:ascii="Times New Roman" w:hAnsi="Times New Roman" w:cs="Times New Roman"/>
                <w:color w:val="000000" w:themeColor="text1"/>
                <w:szCs w:val="24"/>
              </w:rPr>
              <w:t>%,C</w:t>
            </w:r>
            <w:r>
              <w:rPr>
                <w:rFonts w:hint="default" w:ascii="Times New Roman" w:hAnsi="Times New Roman" w:cs="Times New Roman"/>
                <w:color w:val="000000" w:themeColor="text1"/>
                <w:szCs w:val="24"/>
                <w:vertAlign w:val="subscript"/>
              </w:rPr>
              <w:t>max</w:t>
            </w:r>
            <w:r>
              <w:rPr>
                <w:rFonts w:hint="default" w:ascii="Times New Roman" w:hAnsi="Times New Roman" w:cs="Times New Roman"/>
                <w:color w:val="000000" w:themeColor="text1"/>
                <w:szCs w:val="24"/>
              </w:rPr>
              <w:t>为</w:t>
            </w:r>
            <w:r>
              <w:rPr>
                <w:rFonts w:hint="default" w:ascii="Times New Roman" w:hAnsi="Times New Roman" w:cs="Times New Roman"/>
                <w:color w:val="000000" w:themeColor="text1"/>
                <w:szCs w:val="24"/>
                <w:lang w:val="en-US" w:eastAsia="zh-CN"/>
              </w:rPr>
              <w:t>86.3</w:t>
            </w:r>
            <w:r>
              <w:rPr>
                <w:rFonts w:hint="default" w:ascii="Times New Roman" w:hAnsi="Times New Roman" w:cs="Times New Roman"/>
                <w:color w:val="000000" w:themeColor="text1"/>
                <w:szCs w:val="24"/>
              </w:rPr>
              <w:t>μg/m³,根据《环境影响评价技术导则 大气环境》（HJ2.2-2018）分级判据，确定本项目大气环境影响评价工作等级为二级。</w:t>
            </w:r>
          </w:p>
          <w:p>
            <w:pPr>
              <w:keepNext/>
              <w:autoSpaceDE w:val="0"/>
              <w:autoSpaceDN w:val="0"/>
              <w:adjustRightInd w:val="0"/>
              <w:spacing w:line="360" w:lineRule="auto"/>
              <w:ind w:firstLine="480" w:firstLineChars="200"/>
              <w:jc w:val="left"/>
              <w:rPr>
                <w:rFonts w:cs="Times New Roman"/>
                <w:szCs w:val="24"/>
              </w:rPr>
            </w:pPr>
            <w:r>
              <w:rPr>
                <w:rFonts w:cs="Times New Roman"/>
                <w:szCs w:val="24"/>
              </w:rPr>
              <w:t>③预测结果</w:t>
            </w:r>
          </w:p>
          <w:p>
            <w:pPr>
              <w:pStyle w:val="6"/>
              <w:numPr>
                <w:ilvl w:val="0"/>
                <w:numId w:val="0"/>
              </w:numPr>
              <w:ind w:left="576"/>
              <w:rPr>
                <w:rFonts w:cs="Times New Roman"/>
              </w:rPr>
            </w:pPr>
            <w:r>
              <w:rPr>
                <w:rFonts w:cs="Times New Roman"/>
              </w:rPr>
              <w:t>1、有组织</w:t>
            </w:r>
          </w:p>
          <w:p>
            <w:pPr>
              <w:pStyle w:val="2"/>
              <w:adjustRightInd w:val="0"/>
              <w:snapToGrid w:val="0"/>
              <w:spacing w:after="0" w:line="360" w:lineRule="auto"/>
              <w:ind w:firstLine="480" w:firstLineChars="200"/>
              <w:rPr>
                <w:rFonts w:cs="Times New Roman"/>
                <w:szCs w:val="24"/>
              </w:rPr>
            </w:pPr>
            <w:r>
              <w:rPr>
                <w:rFonts w:cs="Times New Roman"/>
                <w:szCs w:val="24"/>
              </w:rPr>
              <w:t>本项目有组织采用《环境影响评价技术导则—大气环境》（HJ2.2-2018）推荐的估算模式（ARESCREEN模型）预测本项目粉尘的浓度及浓度占标率。根据本项目污染特征，选择粉尘作为本项目的大气环境影响预测因子，具体的估算模型参数见下表所示。</w:t>
            </w:r>
          </w:p>
          <w:p>
            <w:pPr>
              <w:pStyle w:val="15"/>
              <w:spacing w:line="240" w:lineRule="auto"/>
              <w:rPr>
                <w:rFonts w:cs="Times New Roman" w:eastAsiaTheme="minorEastAsia"/>
                <w:sz w:val="21"/>
                <w:szCs w:val="21"/>
              </w:rPr>
            </w:pPr>
            <w:r>
              <w:rPr>
                <w:rFonts w:cs="Times New Roman" w:eastAsiaTheme="minorEastAsia"/>
                <w:sz w:val="21"/>
                <w:szCs w:val="21"/>
              </w:rPr>
              <w:t>表7.2</w:t>
            </w:r>
            <w:r>
              <w:rPr>
                <w:rFonts w:cs="Times New Roman" w:eastAsiaTheme="minorEastAsia"/>
                <w:sz w:val="21"/>
                <w:szCs w:val="21"/>
              </w:rPr>
              <w:noBreakHyphen/>
            </w:r>
            <w:r>
              <w:rPr>
                <w:rFonts w:cs="Times New Roman" w:eastAsiaTheme="minorEastAsia"/>
                <w:sz w:val="21"/>
                <w:szCs w:val="21"/>
              </w:rPr>
              <w:fldChar w:fldCharType="begin"/>
            </w:r>
            <w:r>
              <w:rPr>
                <w:rFonts w:cs="Times New Roman" w:eastAsiaTheme="minorEastAsia"/>
                <w:sz w:val="21"/>
                <w:szCs w:val="21"/>
              </w:rPr>
              <w:instrText xml:space="preserve"> SEQ 表 \* ARABIC \s 2 </w:instrText>
            </w:r>
            <w:r>
              <w:rPr>
                <w:rFonts w:cs="Times New Roman" w:eastAsiaTheme="minorEastAsia"/>
                <w:sz w:val="21"/>
                <w:szCs w:val="21"/>
              </w:rPr>
              <w:fldChar w:fldCharType="separate"/>
            </w:r>
            <w:r>
              <w:rPr>
                <w:rFonts w:cs="Times New Roman" w:eastAsiaTheme="minorEastAsia"/>
                <w:sz w:val="21"/>
                <w:szCs w:val="21"/>
              </w:rPr>
              <w:t>1</w:t>
            </w:r>
            <w:r>
              <w:rPr>
                <w:rFonts w:cs="Times New Roman" w:eastAsiaTheme="minorEastAsia"/>
                <w:sz w:val="21"/>
                <w:szCs w:val="21"/>
              </w:rPr>
              <w:fldChar w:fldCharType="end"/>
            </w:r>
            <w:r>
              <w:rPr>
                <w:rFonts w:hint="eastAsia" w:cs="Times New Roman" w:eastAsiaTheme="minorEastAsia"/>
                <w:sz w:val="21"/>
                <w:szCs w:val="21"/>
              </w:rPr>
              <w:t>1</w:t>
            </w:r>
            <w:r>
              <w:rPr>
                <w:rFonts w:cs="Times New Roman" w:eastAsiaTheme="minorEastAsia"/>
                <w:sz w:val="21"/>
                <w:szCs w:val="21"/>
              </w:rPr>
              <w:t xml:space="preserve"> 有组织排放预测结果一览表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2949"/>
              <w:gridCol w:w="3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vMerge w:val="restart"/>
                  <w:tcBorders>
                    <w:top w:val="single" w:color="auto" w:sz="4" w:space="0"/>
                    <w:left w:val="single" w:color="auto" w:sz="4" w:space="0"/>
                    <w:bottom w:val="single" w:color="auto" w:sz="4" w:space="0"/>
                    <w:right w:val="single" w:color="auto" w:sz="4" w:space="0"/>
                  </w:tcBorders>
                  <w:vAlign w:val="center"/>
                </w:tcPr>
                <w:p>
                  <w:pPr>
                    <w:pStyle w:val="118"/>
                    <w:ind w:firstLine="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距离</w:t>
                  </w:r>
                </w:p>
              </w:tc>
              <w:tc>
                <w:tcPr>
                  <w:tcW w:w="3842" w:type="pct"/>
                  <w:gridSpan w:val="2"/>
                  <w:tcBorders>
                    <w:top w:val="single" w:color="auto" w:sz="4" w:space="0"/>
                    <w:left w:val="nil"/>
                    <w:bottom w:val="single" w:color="auto" w:sz="4" w:space="0"/>
                    <w:right w:val="single" w:color="auto" w:sz="4" w:space="0"/>
                  </w:tcBorders>
                  <w:vAlign w:val="center"/>
                </w:tcPr>
                <w:p>
                  <w:pPr>
                    <w:pStyle w:val="118"/>
                    <w:spacing w:line="240" w:lineRule="auto"/>
                    <w:ind w:firstLine="0"/>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sz w:val="21"/>
                      <w:szCs w:val="21"/>
                    </w:rPr>
                    <w:t>搅拌机排气筒的排气筒DA001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1776" w:type="pct"/>
                  <w:tcBorders>
                    <w:top w:val="single" w:color="auto" w:sz="4" w:space="0"/>
                    <w:left w:val="nil"/>
                    <w:bottom w:val="single" w:color="auto" w:sz="4" w:space="0"/>
                    <w:right w:val="single" w:color="auto" w:sz="4" w:space="0"/>
                  </w:tcBorders>
                  <w:vAlign w:val="center"/>
                </w:tcPr>
                <w:p>
                  <w:pPr>
                    <w:pStyle w:val="104"/>
                    <w:rPr>
                      <w:rFonts w:hint="default" w:ascii="Times New Roman" w:hAnsi="Times New Roman" w:cs="Times New Roman"/>
                      <w:kern w:val="0"/>
                      <w:sz w:val="21"/>
                      <w:szCs w:val="21"/>
                    </w:rPr>
                  </w:pPr>
                  <w:r>
                    <w:rPr>
                      <w:rFonts w:hint="default" w:ascii="Times New Roman" w:hAnsi="Times New Roman" w:cs="Times New Roman"/>
                      <w:color w:val="000000"/>
                      <w:sz w:val="21"/>
                      <w:szCs w:val="21"/>
                    </w:rPr>
                    <w:t>浓度ug/m</w:t>
                  </w:r>
                  <w:r>
                    <w:rPr>
                      <w:rFonts w:hint="default" w:ascii="Times New Roman" w:hAnsi="Times New Roman" w:cs="Times New Roman"/>
                      <w:color w:val="000000"/>
                      <w:sz w:val="21"/>
                      <w:szCs w:val="21"/>
                      <w:vertAlign w:val="superscript"/>
                    </w:rPr>
                    <w:t>3</w:t>
                  </w:r>
                </w:p>
              </w:tc>
              <w:tc>
                <w:tcPr>
                  <w:tcW w:w="2066" w:type="pct"/>
                  <w:tcBorders>
                    <w:top w:val="single" w:color="auto" w:sz="4" w:space="0"/>
                    <w:left w:val="nil"/>
                    <w:bottom w:val="single" w:color="auto" w:sz="4" w:space="0"/>
                    <w:right w:val="single" w:color="auto" w:sz="4" w:space="0"/>
                  </w:tcBorders>
                  <w:vAlign w:val="center"/>
                </w:tcPr>
                <w:p>
                  <w:pPr>
                    <w:pStyle w:val="104"/>
                    <w:rPr>
                      <w:rFonts w:hint="default" w:ascii="Times New Roman" w:hAnsi="Times New Roman" w:cs="Times New Roman"/>
                      <w:kern w:val="0"/>
                      <w:sz w:val="21"/>
                      <w:szCs w:val="21"/>
                    </w:rPr>
                  </w:pPr>
                  <w:r>
                    <w:rPr>
                      <w:rFonts w:hint="default" w:ascii="Times New Roman" w:hAnsi="Times New Roman" w:cs="Times New Roman"/>
                      <w:color w:val="000000"/>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kern w:val="0"/>
                      <w:sz w:val="21"/>
                      <w:szCs w:val="21"/>
                    </w:rPr>
                  </w:pPr>
                  <w:r>
                    <w:rPr>
                      <w:rFonts w:hint="default" w:ascii="Times New Roman" w:hAnsi="Times New Roman" w:cs="Times New Roman"/>
                      <w:sz w:val="21"/>
                      <w:szCs w:val="21"/>
                    </w:rPr>
                    <w:t>50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0.191</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0.170</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0.113</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0.081</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0.104</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0.111</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600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0.110</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0.105</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800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0.099</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0.093</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0.086</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0.075</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0.069</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0.063</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0.057</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2000</w:t>
                  </w:r>
                </w:p>
              </w:tc>
              <w:tc>
                <w:tcPr>
                  <w:tcW w:w="2949"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0.052</w:t>
                  </w:r>
                </w:p>
              </w:tc>
              <w:tc>
                <w:tcPr>
                  <w:tcW w:w="3430" w:type="dxa"/>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b w:val="0"/>
                      <w:sz w:val="21"/>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最大落地浓度好最大占标率</w:t>
                  </w:r>
                </w:p>
              </w:tc>
              <w:tc>
                <w:tcPr>
                  <w:tcW w:w="1776" w:type="pct"/>
                  <w:tcBorders>
                    <w:top w:val="single" w:color="auto" w:sz="4" w:space="0"/>
                    <w:left w:val="nil"/>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0.198</w:t>
                  </w:r>
                </w:p>
              </w:tc>
              <w:tc>
                <w:tcPr>
                  <w:tcW w:w="2066" w:type="pct"/>
                  <w:tcBorders>
                    <w:top w:val="single" w:color="auto" w:sz="4" w:space="0"/>
                    <w:left w:val="nil"/>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color w:val="000000"/>
                      <w:sz w:val="21"/>
                    </w:rPr>
                  </w:pPr>
                  <w:r>
                    <w:rPr>
                      <w:rFonts w:cs="Times New Roman"/>
                      <w:color w:val="000000"/>
                      <w:sz w:val="21"/>
                    </w:rPr>
                    <w:t>最大落地距离</w:t>
                  </w:r>
                </w:p>
              </w:tc>
              <w:tc>
                <w:tcPr>
                  <w:tcW w:w="3842" w:type="pct"/>
                  <w:gridSpan w:val="2"/>
                  <w:tcBorders>
                    <w:top w:val="single" w:color="auto" w:sz="4" w:space="0"/>
                    <w:left w:val="nil"/>
                    <w:bottom w:val="single" w:color="auto" w:sz="4" w:space="0"/>
                    <w:right w:val="single" w:color="auto" w:sz="4" w:space="0"/>
                  </w:tcBorders>
                  <w:vAlign w:val="center"/>
                </w:tcPr>
                <w:p>
                  <w:pPr>
                    <w:pStyle w:val="118"/>
                    <w:adjustRightInd w:val="0"/>
                    <w:snapToGrid w:val="0"/>
                    <w:spacing w:line="240" w:lineRule="auto"/>
                    <w:jc w:val="center"/>
                    <w:rPr>
                      <w:rFonts w:hint="default" w:eastAsiaTheme="minorEastAsia"/>
                      <w:sz w:val="21"/>
                      <w:szCs w:val="21"/>
                      <w:lang w:val="en-US" w:eastAsia="zh-CN"/>
                    </w:rPr>
                  </w:pPr>
                  <w:r>
                    <w:rPr>
                      <w:rFonts w:hint="eastAsia" w:eastAsiaTheme="minorEastAsia"/>
                      <w:sz w:val="21"/>
                      <w:szCs w:val="21"/>
                      <w:lang w:val="en-US" w:eastAsia="zh-CN"/>
                    </w:rPr>
                    <w:t>43</w:t>
                  </w:r>
                </w:p>
              </w:tc>
            </w:tr>
          </w:tbl>
          <w:p>
            <w:pPr>
              <w:pStyle w:val="15"/>
              <w:adjustRightInd w:val="0"/>
              <w:snapToGrid w:val="0"/>
              <w:ind w:firstLine="480" w:firstLineChars="200"/>
              <w:jc w:val="both"/>
              <w:rPr>
                <w:rFonts w:cs="Times New Roman" w:eastAsiaTheme="minorEastAsia"/>
                <w:b w:val="0"/>
                <w:color w:val="000000"/>
                <w:szCs w:val="24"/>
              </w:rPr>
            </w:pPr>
            <w:r>
              <w:rPr>
                <w:rFonts w:cs="Times New Roman" w:eastAsiaTheme="minorEastAsia"/>
                <w:b w:val="0"/>
                <w:szCs w:val="24"/>
              </w:rPr>
              <w:t>由上表估算模式结果可知，本项目有组织粉尘C</w:t>
            </w:r>
            <w:r>
              <w:rPr>
                <w:rFonts w:cs="Times New Roman" w:eastAsiaTheme="minorEastAsia"/>
                <w:b w:val="0"/>
                <w:szCs w:val="24"/>
                <w:vertAlign w:val="subscript"/>
              </w:rPr>
              <w:t>max</w:t>
            </w:r>
            <w:r>
              <w:rPr>
                <w:rFonts w:cs="Times New Roman" w:eastAsiaTheme="minorEastAsia"/>
                <w:b w:val="0"/>
                <w:szCs w:val="24"/>
              </w:rPr>
              <w:t>为</w:t>
            </w:r>
            <w:r>
              <w:rPr>
                <w:rFonts w:hint="eastAsia" w:cs="Times New Roman" w:eastAsiaTheme="minorEastAsia"/>
                <w:b w:val="0"/>
                <w:szCs w:val="24"/>
                <w:lang w:val="en-US" w:eastAsia="zh-CN"/>
              </w:rPr>
              <w:t>0.198</w:t>
            </w:r>
            <w:r>
              <w:rPr>
                <w:rFonts w:cs="Times New Roman" w:eastAsiaTheme="minorEastAsia"/>
                <w:b w:val="0"/>
                <w:color w:val="000000"/>
                <w:szCs w:val="24"/>
              </w:rPr>
              <w:t>ug/m</w:t>
            </w:r>
            <w:r>
              <w:rPr>
                <w:rFonts w:cs="Times New Roman" w:eastAsiaTheme="minorEastAsia"/>
                <w:b w:val="0"/>
                <w:color w:val="000000"/>
                <w:szCs w:val="24"/>
                <w:vertAlign w:val="superscript"/>
              </w:rPr>
              <w:t>3</w:t>
            </w:r>
            <w:r>
              <w:rPr>
                <w:rFonts w:cs="Times New Roman" w:eastAsiaTheme="minorEastAsia"/>
                <w:b w:val="0"/>
                <w:color w:val="000000"/>
                <w:szCs w:val="24"/>
              </w:rPr>
              <w:t>，P</w:t>
            </w:r>
            <w:r>
              <w:rPr>
                <w:rFonts w:cs="Times New Roman" w:eastAsiaTheme="minorEastAsia"/>
                <w:b w:val="0"/>
                <w:color w:val="000000"/>
                <w:szCs w:val="24"/>
                <w:vertAlign w:val="subscript"/>
              </w:rPr>
              <w:t>max</w:t>
            </w:r>
            <w:r>
              <w:rPr>
                <w:rFonts w:hint="eastAsia" w:cs="Times New Roman" w:eastAsiaTheme="minorEastAsia"/>
                <w:b w:val="0"/>
                <w:color w:val="000000"/>
                <w:szCs w:val="24"/>
              </w:rPr>
              <w:t>为</w:t>
            </w:r>
            <w:r>
              <w:rPr>
                <w:rFonts w:hint="eastAsia" w:cs="Times New Roman" w:eastAsiaTheme="minorEastAsia"/>
                <w:b w:val="0"/>
                <w:color w:val="000000"/>
                <w:szCs w:val="24"/>
                <w:lang w:val="en-US" w:eastAsia="zh-CN"/>
              </w:rPr>
              <w:t>0.044</w:t>
            </w:r>
            <w:r>
              <w:rPr>
                <w:rFonts w:cs="Times New Roman" w:eastAsiaTheme="minorEastAsia"/>
                <w:b w:val="0"/>
                <w:color w:val="000000"/>
                <w:szCs w:val="24"/>
              </w:rPr>
              <w:t>%，距离为厂界下风向</w:t>
            </w:r>
            <w:r>
              <w:rPr>
                <w:rFonts w:hint="eastAsia" w:cs="Times New Roman" w:eastAsiaTheme="minorEastAsia"/>
                <w:b w:val="0"/>
                <w:color w:val="000000"/>
                <w:szCs w:val="24"/>
                <w:lang w:val="en-US" w:eastAsia="zh-CN"/>
              </w:rPr>
              <w:t>43</w:t>
            </w:r>
            <w:r>
              <w:rPr>
                <w:rFonts w:cs="Times New Roman" w:eastAsiaTheme="minorEastAsia"/>
                <w:b w:val="0"/>
                <w:color w:val="000000"/>
                <w:szCs w:val="24"/>
              </w:rPr>
              <w:t>m。</w:t>
            </w:r>
          </w:p>
          <w:p>
            <w:pPr>
              <w:pStyle w:val="2"/>
              <w:adjustRightInd w:val="0"/>
              <w:snapToGrid w:val="0"/>
              <w:spacing w:after="0" w:line="360" w:lineRule="auto"/>
              <w:ind w:firstLine="480" w:firstLineChars="200"/>
              <w:rPr>
                <w:rFonts w:cs="Times New Roman"/>
                <w:szCs w:val="24"/>
              </w:rPr>
            </w:pPr>
            <w:r>
              <w:rPr>
                <w:rFonts w:cs="Times New Roman"/>
                <w:szCs w:val="24"/>
              </w:rPr>
              <w:t>2、无组织排放</w:t>
            </w:r>
          </w:p>
          <w:p>
            <w:pPr>
              <w:pStyle w:val="15"/>
              <w:adjustRightInd w:val="0"/>
              <w:snapToGrid w:val="0"/>
              <w:ind w:firstLine="480" w:firstLineChars="200"/>
              <w:jc w:val="both"/>
              <w:rPr>
                <w:rFonts w:hint="default" w:ascii="Times New Roman" w:hAnsi="Times New Roman" w:cs="Times New Roman" w:eastAsiaTheme="minorEastAsia"/>
                <w:b w:val="0"/>
                <w:szCs w:val="24"/>
              </w:rPr>
            </w:pPr>
            <w:r>
              <w:rPr>
                <w:rFonts w:hint="default" w:ascii="Times New Roman" w:hAnsi="Times New Roman" w:cs="Times New Roman" w:eastAsiaTheme="minorEastAsia"/>
                <w:b w:val="0"/>
                <w:szCs w:val="24"/>
              </w:rPr>
              <w:t>根据污染物的产生和排放情况，选取TSP作为本项目大气环境防护距离计算的预测因子。结合项目粉尘产生情况，环评选择所有产尘区产生的粉尘计算大气环境防护距离。以生产车间及各堆场为面源，面源高约10米。为维护人群健康，减少正常排放条件下的污染物对周边环境的影响，计算项目边界应设置的环境保护距离。本评价采用《环境影响评价技术导则—大气环境》（HJ2.2-2018）推荐的估算模式AERSCREEN模型，计算大气环境防护距离，计算结果见下表所示。</w:t>
            </w:r>
          </w:p>
          <w:p>
            <w:pPr>
              <w:pStyle w:val="15"/>
              <w:spacing w:line="240" w:lineRule="auto"/>
              <w:rPr>
                <w:rFonts w:cs="Times New Roman" w:eastAsiaTheme="minorEastAsia"/>
                <w:sz w:val="21"/>
                <w:szCs w:val="21"/>
              </w:rPr>
            </w:pPr>
            <w:r>
              <w:rPr>
                <w:rFonts w:cs="Times New Roman" w:eastAsiaTheme="minorEastAsia"/>
                <w:sz w:val="21"/>
                <w:szCs w:val="21"/>
              </w:rPr>
              <w:t>表7.2</w:t>
            </w:r>
            <w:r>
              <w:rPr>
                <w:rFonts w:cs="Times New Roman" w:eastAsiaTheme="minorEastAsia"/>
                <w:sz w:val="21"/>
                <w:szCs w:val="21"/>
              </w:rPr>
              <w:noBreakHyphen/>
            </w:r>
            <w:r>
              <w:rPr>
                <w:rFonts w:cs="Times New Roman" w:eastAsiaTheme="minorEastAsia"/>
                <w:sz w:val="21"/>
                <w:szCs w:val="21"/>
              </w:rPr>
              <w:t>1</w:t>
            </w:r>
            <w:r>
              <w:rPr>
                <w:rFonts w:hint="eastAsia" w:cs="Times New Roman" w:eastAsiaTheme="minorEastAsia"/>
                <w:sz w:val="21"/>
                <w:szCs w:val="21"/>
              </w:rPr>
              <w:t>2</w:t>
            </w:r>
            <w:r>
              <w:rPr>
                <w:rFonts w:cs="Times New Roman" w:eastAsiaTheme="minorEastAsia"/>
                <w:sz w:val="21"/>
                <w:szCs w:val="21"/>
              </w:rPr>
              <w:t xml:space="preserve">  无组织排放预测结果一览表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1641"/>
              <w:gridCol w:w="1792"/>
              <w:gridCol w:w="1790"/>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vMerge w:val="restart"/>
                  <w:tcBorders>
                    <w:top w:val="single" w:color="auto" w:sz="4" w:space="0"/>
                    <w:left w:val="single" w:color="auto" w:sz="4" w:space="0"/>
                    <w:bottom w:val="single" w:color="auto" w:sz="4" w:space="0"/>
                    <w:right w:val="single" w:color="auto" w:sz="4" w:space="0"/>
                  </w:tcBorders>
                  <w:vAlign w:val="center"/>
                </w:tcPr>
                <w:p>
                  <w:pPr>
                    <w:pStyle w:val="118"/>
                    <w:keepNext w:val="0"/>
                    <w:keepLines w:val="0"/>
                    <w:pageBreakBefore w:val="0"/>
                    <w:kinsoku/>
                    <w:wordWrap/>
                    <w:overflowPunct/>
                    <w:topLinePunct w:val="0"/>
                    <w:autoSpaceDE/>
                    <w:autoSpaceDN/>
                    <w:bidi w:val="0"/>
                    <w:spacing w:line="240" w:lineRule="auto"/>
                    <w:textAlignment w:val="auto"/>
                    <w:rPr>
                      <w:rFonts w:eastAsiaTheme="minorEastAsia"/>
                      <w:sz w:val="21"/>
                      <w:szCs w:val="21"/>
                    </w:rPr>
                  </w:pPr>
                  <w:r>
                    <w:rPr>
                      <w:rFonts w:eastAsiaTheme="minorEastAsia"/>
                      <w:bCs/>
                      <w:sz w:val="21"/>
                      <w:szCs w:val="21"/>
                    </w:rPr>
                    <w:t>距离</w:t>
                  </w:r>
                </w:p>
              </w:tc>
              <w:tc>
                <w:tcPr>
                  <w:tcW w:w="2067" w:type="pct"/>
                  <w:gridSpan w:val="2"/>
                  <w:tcBorders>
                    <w:top w:val="single" w:color="auto" w:sz="4" w:space="0"/>
                    <w:left w:val="nil"/>
                    <w:bottom w:val="single" w:color="auto" w:sz="4" w:space="0"/>
                    <w:right w:val="single" w:color="auto" w:sz="4" w:space="0"/>
                  </w:tcBorders>
                  <w:vAlign w:val="center"/>
                </w:tcPr>
                <w:p>
                  <w:pPr>
                    <w:pStyle w:val="118"/>
                    <w:keepNext w:val="0"/>
                    <w:keepLines w:val="0"/>
                    <w:pageBreakBefore w:val="0"/>
                    <w:kinsoku/>
                    <w:wordWrap/>
                    <w:overflowPunct/>
                    <w:topLinePunct w:val="0"/>
                    <w:autoSpaceDE/>
                    <w:autoSpaceDN/>
                    <w:bidi w:val="0"/>
                    <w:spacing w:line="240" w:lineRule="auto"/>
                    <w:jc w:val="center"/>
                    <w:textAlignment w:val="auto"/>
                    <w:rPr>
                      <w:rFonts w:eastAsiaTheme="minorEastAsia"/>
                      <w:sz w:val="21"/>
                    </w:rPr>
                  </w:pPr>
                  <w:r>
                    <w:rPr>
                      <w:rFonts w:eastAsiaTheme="minorEastAsia"/>
                      <w:sz w:val="21"/>
                    </w:rPr>
                    <w:t>砂石堆场</w:t>
                  </w:r>
                </w:p>
              </w:tc>
              <w:tc>
                <w:tcPr>
                  <w:tcW w:w="2156" w:type="pct"/>
                  <w:gridSpan w:val="2"/>
                  <w:tcBorders>
                    <w:top w:val="single" w:color="auto" w:sz="4" w:space="0"/>
                    <w:left w:val="nil"/>
                    <w:bottom w:val="single" w:color="auto" w:sz="4" w:space="0"/>
                    <w:right w:val="single" w:color="auto" w:sz="4" w:space="0"/>
                  </w:tcBorders>
                </w:tcPr>
                <w:p>
                  <w:pPr>
                    <w:pStyle w:val="118"/>
                    <w:keepNext w:val="0"/>
                    <w:keepLines w:val="0"/>
                    <w:pageBreakBefore w:val="0"/>
                    <w:kinsoku/>
                    <w:wordWrap/>
                    <w:overflowPunct/>
                    <w:topLinePunct w:val="0"/>
                    <w:autoSpaceDE/>
                    <w:autoSpaceDN/>
                    <w:bidi w:val="0"/>
                    <w:spacing w:line="240" w:lineRule="auto"/>
                    <w:jc w:val="center"/>
                    <w:textAlignment w:val="auto"/>
                    <w:rPr>
                      <w:rFonts w:eastAsiaTheme="minorEastAsia"/>
                      <w:sz w:val="21"/>
                    </w:rPr>
                  </w:pPr>
                  <w:r>
                    <w:rPr>
                      <w:rFonts w:eastAsiaTheme="minorEastAsia"/>
                      <w:sz w:val="21"/>
                    </w:rPr>
                    <w:t>装卸料粉尘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cs="Times New Roman"/>
                      <w:kern w:val="0"/>
                      <w:sz w:val="21"/>
                    </w:rPr>
                  </w:pPr>
                </w:p>
              </w:tc>
              <w:tc>
                <w:tcPr>
                  <w:tcW w:w="988" w:type="pct"/>
                  <w:tcBorders>
                    <w:top w:val="single" w:color="auto" w:sz="4" w:space="0"/>
                    <w:left w:val="nil"/>
                    <w:bottom w:val="single" w:color="auto" w:sz="4" w:space="0"/>
                    <w:right w:val="single" w:color="auto" w:sz="4" w:space="0"/>
                  </w:tcBorders>
                  <w:vAlign w:val="center"/>
                </w:tcPr>
                <w:p>
                  <w:pPr>
                    <w:pStyle w:val="104"/>
                    <w:keepNext w:val="0"/>
                    <w:keepLines w:val="0"/>
                    <w:pageBreakBefore w:val="0"/>
                    <w:kinsoku/>
                    <w:wordWrap/>
                    <w:overflowPunct/>
                    <w:topLinePunct w:val="0"/>
                    <w:autoSpaceDE/>
                    <w:autoSpaceDN/>
                    <w:bidi w:val="0"/>
                    <w:spacing w:line="240" w:lineRule="auto"/>
                    <w:textAlignment w:val="auto"/>
                    <w:rPr>
                      <w:rFonts w:ascii="Times New Roman" w:hAnsi="Times New Roman" w:cs="Times New Roman"/>
                      <w:kern w:val="0"/>
                      <w:szCs w:val="21"/>
                    </w:rPr>
                  </w:pPr>
                  <w:r>
                    <w:rPr>
                      <w:rFonts w:ascii="Times New Roman" w:hAnsi="Times New Roman" w:cs="Times New Roman"/>
                      <w:color w:val="000000"/>
                      <w:szCs w:val="21"/>
                    </w:rPr>
                    <w:t>浓度ug/m</w:t>
                  </w:r>
                  <w:r>
                    <w:rPr>
                      <w:rFonts w:ascii="Times New Roman" w:hAnsi="Times New Roman" w:cs="Times New Roman"/>
                      <w:color w:val="000000"/>
                      <w:szCs w:val="21"/>
                      <w:vertAlign w:val="superscript"/>
                    </w:rPr>
                    <w:t>3</w:t>
                  </w:r>
                </w:p>
              </w:tc>
              <w:tc>
                <w:tcPr>
                  <w:tcW w:w="1079" w:type="pct"/>
                  <w:tcBorders>
                    <w:top w:val="single" w:color="auto" w:sz="4" w:space="0"/>
                    <w:left w:val="nil"/>
                    <w:bottom w:val="single" w:color="auto" w:sz="4" w:space="0"/>
                    <w:right w:val="single" w:color="auto" w:sz="4" w:space="0"/>
                  </w:tcBorders>
                  <w:vAlign w:val="center"/>
                </w:tcPr>
                <w:p>
                  <w:pPr>
                    <w:pStyle w:val="104"/>
                    <w:keepNext w:val="0"/>
                    <w:keepLines w:val="0"/>
                    <w:pageBreakBefore w:val="0"/>
                    <w:kinsoku/>
                    <w:wordWrap/>
                    <w:overflowPunct/>
                    <w:topLinePunct w:val="0"/>
                    <w:autoSpaceDE/>
                    <w:autoSpaceDN/>
                    <w:bidi w:val="0"/>
                    <w:spacing w:line="240" w:lineRule="auto"/>
                    <w:textAlignment w:val="auto"/>
                    <w:rPr>
                      <w:rFonts w:ascii="Times New Roman" w:hAnsi="Times New Roman" w:cs="Times New Roman"/>
                      <w:kern w:val="0"/>
                      <w:szCs w:val="21"/>
                    </w:rPr>
                  </w:pPr>
                  <w:r>
                    <w:rPr>
                      <w:rFonts w:ascii="Times New Roman" w:hAnsi="Times New Roman" w:cs="Times New Roman"/>
                      <w:color w:val="000000"/>
                      <w:szCs w:val="21"/>
                    </w:rPr>
                    <w:t>占标率%</w:t>
                  </w:r>
                </w:p>
              </w:tc>
              <w:tc>
                <w:tcPr>
                  <w:tcW w:w="1078" w:type="pct"/>
                  <w:tcBorders>
                    <w:top w:val="single" w:color="auto" w:sz="4" w:space="0"/>
                    <w:left w:val="nil"/>
                    <w:bottom w:val="single" w:color="auto" w:sz="4" w:space="0"/>
                    <w:right w:val="single" w:color="auto" w:sz="4" w:space="0"/>
                  </w:tcBorders>
                  <w:vAlign w:val="center"/>
                </w:tcPr>
                <w:p>
                  <w:pPr>
                    <w:pStyle w:val="104"/>
                    <w:keepNext w:val="0"/>
                    <w:keepLines w:val="0"/>
                    <w:pageBreakBefore w:val="0"/>
                    <w:kinsoku/>
                    <w:wordWrap/>
                    <w:overflowPunct/>
                    <w:topLinePunct w:val="0"/>
                    <w:autoSpaceDE/>
                    <w:autoSpaceDN/>
                    <w:bidi w:val="0"/>
                    <w:spacing w:line="240" w:lineRule="auto"/>
                    <w:textAlignment w:val="auto"/>
                    <w:rPr>
                      <w:rFonts w:ascii="Times New Roman" w:hAnsi="Times New Roman" w:cs="Times New Roman"/>
                      <w:kern w:val="0"/>
                      <w:szCs w:val="21"/>
                    </w:rPr>
                  </w:pPr>
                  <w:r>
                    <w:rPr>
                      <w:rFonts w:ascii="Times New Roman" w:hAnsi="Times New Roman" w:cs="Times New Roman"/>
                      <w:color w:val="000000"/>
                      <w:szCs w:val="21"/>
                    </w:rPr>
                    <w:t>浓度ug/m</w:t>
                  </w:r>
                  <w:r>
                    <w:rPr>
                      <w:rFonts w:ascii="Times New Roman" w:hAnsi="Times New Roman" w:cs="Times New Roman"/>
                      <w:color w:val="000000"/>
                      <w:szCs w:val="21"/>
                      <w:vertAlign w:val="superscript"/>
                    </w:rPr>
                    <w:t>3</w:t>
                  </w:r>
                </w:p>
              </w:tc>
              <w:tc>
                <w:tcPr>
                  <w:tcW w:w="1078" w:type="pct"/>
                  <w:tcBorders>
                    <w:top w:val="single" w:color="auto" w:sz="4" w:space="0"/>
                    <w:left w:val="nil"/>
                    <w:bottom w:val="single" w:color="auto" w:sz="4" w:space="0"/>
                    <w:right w:val="single" w:color="auto" w:sz="4" w:space="0"/>
                  </w:tcBorders>
                  <w:vAlign w:val="center"/>
                </w:tcPr>
                <w:p>
                  <w:pPr>
                    <w:pStyle w:val="104"/>
                    <w:keepNext w:val="0"/>
                    <w:keepLines w:val="0"/>
                    <w:pageBreakBefore w:val="0"/>
                    <w:kinsoku/>
                    <w:wordWrap/>
                    <w:overflowPunct/>
                    <w:topLinePunct w:val="0"/>
                    <w:autoSpaceDE/>
                    <w:autoSpaceDN/>
                    <w:bidi w:val="0"/>
                    <w:spacing w:line="240" w:lineRule="auto"/>
                    <w:textAlignment w:val="auto"/>
                    <w:rPr>
                      <w:rFonts w:ascii="Times New Roman" w:hAnsi="Times New Roman" w:cs="Times New Roman"/>
                      <w:kern w:val="0"/>
                      <w:szCs w:val="21"/>
                    </w:rPr>
                  </w:pPr>
                  <w:r>
                    <w:rPr>
                      <w:rFonts w:ascii="Times New Roman" w:hAnsi="Times New Roman" w:cs="Times New Roman"/>
                      <w:color w:val="000000"/>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kern w:val="0"/>
                      <w:sz w:val="21"/>
                    </w:rPr>
                  </w:pPr>
                  <w:r>
                    <w:rPr>
                      <w:rFonts w:cs="Times New Roman"/>
                      <w:sz w:val="21"/>
                    </w:rPr>
                    <w:t>50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6.119</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0.680</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83.511</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9.279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sz w:val="21"/>
                    </w:rPr>
                  </w:pPr>
                  <w:r>
                    <w:rPr>
                      <w:rFonts w:cs="Times New Roman"/>
                      <w:sz w:val="21"/>
                    </w:rPr>
                    <w:t>100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2.665</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0.296</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55.212</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6.135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sz w:val="21"/>
                    </w:rPr>
                  </w:pPr>
                  <w:r>
                    <w:rPr>
                      <w:rFonts w:cs="Times New Roman"/>
                      <w:sz w:val="21"/>
                    </w:rPr>
                    <w:t>200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1.066</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0.118</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22.342</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2.482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sz w:val="21"/>
                    </w:rPr>
                  </w:pPr>
                  <w:r>
                    <w:rPr>
                      <w:rFonts w:cs="Times New Roman"/>
                      <w:sz w:val="21"/>
                    </w:rPr>
                    <w:t>300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0.616</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0.068</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12.939</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1.438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color w:val="000000"/>
                      <w:sz w:val="21"/>
                    </w:rPr>
                  </w:pPr>
                  <w:r>
                    <w:rPr>
                      <w:rFonts w:cs="Times New Roman"/>
                      <w:color w:val="000000"/>
                      <w:sz w:val="21"/>
                    </w:rPr>
                    <w:t>400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0.417</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0.046</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8.762</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sz w:val="21"/>
                    </w:rPr>
                  </w:pPr>
                  <w:r>
                    <w:rPr>
                      <w:rFonts w:cs="Times New Roman"/>
                      <w:sz w:val="21"/>
                    </w:rPr>
                    <w:t>500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0.308</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0.034</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6.471</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sz w:val="21"/>
                    </w:rPr>
                  </w:pPr>
                  <w:r>
                    <w:rPr>
                      <w:rFonts w:cs="Times New Roman"/>
                      <w:sz w:val="21"/>
                    </w:rPr>
                    <w:t>600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0.240</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0.027</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5.052</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sz w:val="21"/>
                    </w:rPr>
                  </w:pPr>
                  <w:r>
                    <w:rPr>
                      <w:rFonts w:cs="Times New Roman"/>
                      <w:sz w:val="21"/>
                    </w:rPr>
                    <w:t>700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0.194</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0.022</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4.100</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sz w:val="21"/>
                    </w:rPr>
                  </w:pPr>
                  <w:r>
                    <w:rPr>
                      <w:rFonts w:cs="Times New Roman"/>
                      <w:sz w:val="21"/>
                    </w:rPr>
                    <w:t>800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0.162</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0.018</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3.419</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color w:val="000000"/>
                      <w:sz w:val="21"/>
                    </w:rPr>
                  </w:pPr>
                  <w:r>
                    <w:rPr>
                      <w:rFonts w:cs="Times New Roman"/>
                      <w:color w:val="000000"/>
                      <w:sz w:val="21"/>
                    </w:rPr>
                    <w:t>900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0.138</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0.015</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2.912</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color w:val="000000"/>
                      <w:sz w:val="21"/>
                    </w:rPr>
                  </w:pPr>
                  <w:r>
                    <w:rPr>
                      <w:rFonts w:cs="Times New Roman"/>
                      <w:color w:val="000000"/>
                      <w:sz w:val="21"/>
                    </w:rPr>
                    <w:t>1000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0.120</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0.013</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2.523</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color w:val="000000"/>
                      <w:sz w:val="21"/>
                    </w:rPr>
                  </w:pPr>
                  <w:r>
                    <w:rPr>
                      <w:rFonts w:cs="Times New Roman"/>
                      <w:color w:val="000000"/>
                      <w:sz w:val="21"/>
                    </w:rPr>
                    <w:t>1200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0.093</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0.010</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1.980</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color w:val="000000"/>
                      <w:sz w:val="21"/>
                    </w:rPr>
                  </w:pPr>
                  <w:r>
                    <w:rPr>
                      <w:rFonts w:cs="Times New Roman"/>
                      <w:color w:val="000000"/>
                      <w:sz w:val="21"/>
                    </w:rPr>
                    <w:t>1400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0.076</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0.008</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1.616</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color w:val="000000"/>
                      <w:sz w:val="21"/>
                    </w:rPr>
                  </w:pPr>
                  <w:r>
                    <w:rPr>
                      <w:rFonts w:cs="Times New Roman"/>
                      <w:color w:val="000000"/>
                      <w:sz w:val="21"/>
                    </w:rPr>
                    <w:t>1600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0.065</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0.007</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1.366</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color w:val="000000"/>
                      <w:sz w:val="21"/>
                    </w:rPr>
                  </w:pPr>
                  <w:r>
                    <w:rPr>
                      <w:rFonts w:cs="Times New Roman"/>
                      <w:color w:val="000000"/>
                      <w:sz w:val="21"/>
                    </w:rPr>
                    <w:t>1800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0.056</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0.006</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1.189</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color w:val="000000"/>
                      <w:sz w:val="21"/>
                    </w:rPr>
                  </w:pPr>
                  <w:r>
                    <w:rPr>
                      <w:rFonts w:cs="Times New Roman"/>
                      <w:color w:val="000000"/>
                      <w:sz w:val="21"/>
                    </w:rPr>
                    <w:t>2000</w:t>
                  </w:r>
                </w:p>
              </w:tc>
              <w:tc>
                <w:tcPr>
                  <w:tcW w:w="1641"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0.050</w:t>
                  </w:r>
                </w:p>
              </w:tc>
              <w:tc>
                <w:tcPr>
                  <w:tcW w:w="1792"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0.006</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1.049</w:t>
                  </w:r>
                </w:p>
              </w:tc>
              <w:tc>
                <w:tcPr>
                  <w:tcW w:w="179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cs="Times New Roman"/>
                      <w:color w:val="000000"/>
                      <w:sz w:val="21"/>
                    </w:rPr>
                  </w:pPr>
                  <w:r>
                    <w:rPr>
                      <w:rFonts w:cs="Times New Roman"/>
                      <w:color w:val="000000"/>
                      <w:sz w:val="21"/>
                    </w:rPr>
                    <w:t>最大落地浓度好最大占标率</w:t>
                  </w:r>
                </w:p>
              </w:tc>
              <w:tc>
                <w:tcPr>
                  <w:tcW w:w="98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sz w:val="21"/>
                      <w:lang w:val="en-US" w:eastAsia="zh-CN"/>
                    </w:rPr>
                  </w:pPr>
                  <w:r>
                    <w:rPr>
                      <w:rFonts w:hint="eastAsia" w:cs="Times New Roman"/>
                      <w:sz w:val="21"/>
                      <w:lang w:val="en-US" w:eastAsia="zh-CN"/>
                    </w:rPr>
                    <w:t>11.842</w:t>
                  </w:r>
                </w:p>
              </w:tc>
              <w:tc>
                <w:tcPr>
                  <w:tcW w:w="107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sz w:val="21"/>
                      <w:lang w:val="en-US" w:eastAsia="zh-CN"/>
                    </w:rPr>
                  </w:pPr>
                  <w:r>
                    <w:rPr>
                      <w:rFonts w:hint="eastAsia" w:cs="Times New Roman"/>
                      <w:sz w:val="21"/>
                      <w:lang w:val="en-US" w:eastAsia="zh-CN"/>
                    </w:rPr>
                    <w:t>1.316</w:t>
                  </w:r>
                </w:p>
              </w:tc>
              <w:tc>
                <w:tcPr>
                  <w:tcW w:w="1790"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lang w:val="en-US" w:eastAsia="zh-CN"/>
                    </w:rPr>
                  </w:pPr>
                  <w:r>
                    <w:rPr>
                      <w:rFonts w:hint="eastAsia" w:eastAsia="宋体" w:cs="Times New Roman"/>
                      <w:b w:val="0"/>
                      <w:sz w:val="23"/>
                      <w:szCs w:val="23"/>
                      <w:lang w:val="en-US" w:eastAsia="zh-CN"/>
                    </w:rPr>
                    <w:t>86.392</w:t>
                  </w:r>
                </w:p>
              </w:tc>
              <w:tc>
                <w:tcPr>
                  <w:tcW w:w="107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sz w:val="21"/>
                      <w:lang w:val="en-US" w:eastAsia="zh-CN"/>
                    </w:rPr>
                  </w:pPr>
                  <w:r>
                    <w:rPr>
                      <w:rFonts w:hint="eastAsia" w:cs="Times New Roman"/>
                      <w:sz w:val="21"/>
                      <w:lang w:val="en-US" w:eastAsia="zh-CN"/>
                    </w:rPr>
                    <w:t>9.599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sz w:val="21"/>
                    </w:rPr>
                  </w:pPr>
                  <w:r>
                    <w:rPr>
                      <w:rFonts w:cs="Times New Roman"/>
                      <w:color w:val="000000"/>
                      <w:sz w:val="21"/>
                    </w:rPr>
                    <w:t>最大落地距离</w:t>
                  </w:r>
                </w:p>
              </w:tc>
              <w:tc>
                <w:tcPr>
                  <w:tcW w:w="2067"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sz w:val="21"/>
                    </w:rPr>
                  </w:pPr>
                  <w:r>
                    <w:rPr>
                      <w:rFonts w:hint="eastAsia" w:cs="Times New Roman"/>
                      <w:sz w:val="21"/>
                    </w:rPr>
                    <w:t>16</w:t>
                  </w:r>
                </w:p>
              </w:tc>
              <w:tc>
                <w:tcPr>
                  <w:tcW w:w="2159" w:type="pct"/>
                  <w:gridSpan w:val="2"/>
                  <w:tcBorders>
                    <w:top w:val="single" w:color="auto" w:sz="4" w:space="0"/>
                    <w:left w:val="nil"/>
                    <w:bottom w:val="single" w:color="auto" w:sz="4" w:space="0"/>
                    <w:right w:val="single" w:color="auto" w:sz="4" w:space="0"/>
                  </w:tcBorders>
                  <w:vAlign w:val="center"/>
                </w:tcPr>
                <w:p>
                  <w:pPr>
                    <w:pStyle w:val="118"/>
                    <w:keepNext w:val="0"/>
                    <w:keepLines w:val="0"/>
                    <w:pageBreakBefore w:val="0"/>
                    <w:kinsoku/>
                    <w:wordWrap/>
                    <w:overflowPunct/>
                    <w:topLinePunct w:val="0"/>
                    <w:autoSpaceDE/>
                    <w:autoSpaceDN/>
                    <w:bidi w:val="0"/>
                    <w:adjustRightInd w:val="0"/>
                    <w:snapToGrid w:val="0"/>
                    <w:spacing w:line="240" w:lineRule="auto"/>
                    <w:ind w:firstLine="1627" w:firstLineChars="775"/>
                    <w:textAlignment w:val="auto"/>
                    <w:rPr>
                      <w:rFonts w:hint="default" w:eastAsiaTheme="minorEastAsia"/>
                      <w:sz w:val="21"/>
                      <w:szCs w:val="21"/>
                      <w:lang w:val="en-US" w:eastAsia="zh-CN"/>
                    </w:rPr>
                  </w:pPr>
                  <w:r>
                    <w:rPr>
                      <w:rFonts w:hint="eastAsia" w:eastAsiaTheme="minorEastAsia"/>
                      <w:sz w:val="21"/>
                      <w:lang w:val="en-US" w:eastAsia="zh-CN"/>
                    </w:rPr>
                    <w:t>58</w:t>
                  </w:r>
                </w:p>
              </w:tc>
            </w:tr>
          </w:tbl>
          <w:p>
            <w:pPr>
              <w:pStyle w:val="15"/>
              <w:spacing w:line="240" w:lineRule="auto"/>
              <w:rPr>
                <w:rFonts w:hint="eastAsia" w:cs="Times New Roman"/>
                <w:color w:val="000000" w:themeColor="text1"/>
                <w:sz w:val="21"/>
                <w:szCs w:val="21"/>
              </w:rPr>
            </w:pPr>
          </w:p>
          <w:p>
            <w:pPr>
              <w:pStyle w:val="15"/>
              <w:spacing w:line="240" w:lineRule="auto"/>
              <w:rPr>
                <w:rFonts w:hint="eastAsia" w:cs="Times New Roman"/>
                <w:color w:val="000000" w:themeColor="text1"/>
                <w:sz w:val="21"/>
                <w:szCs w:val="21"/>
              </w:rPr>
            </w:pPr>
          </w:p>
          <w:p>
            <w:pPr>
              <w:pStyle w:val="15"/>
              <w:spacing w:line="240" w:lineRule="auto"/>
              <w:rPr>
                <w:rFonts w:hint="eastAsia" w:cs="Times New Roman"/>
                <w:color w:val="000000" w:themeColor="text1"/>
                <w:sz w:val="21"/>
                <w:szCs w:val="21"/>
              </w:rPr>
            </w:pPr>
          </w:p>
          <w:p>
            <w:pPr>
              <w:pStyle w:val="15"/>
              <w:spacing w:line="240" w:lineRule="auto"/>
              <w:rPr>
                <w:rFonts w:hint="eastAsia" w:cs="Times New Roman"/>
                <w:color w:val="000000" w:themeColor="text1"/>
                <w:sz w:val="21"/>
                <w:szCs w:val="21"/>
              </w:rPr>
            </w:pPr>
          </w:p>
          <w:p>
            <w:pPr>
              <w:pStyle w:val="15"/>
              <w:spacing w:line="240" w:lineRule="auto"/>
              <w:rPr>
                <w:rFonts w:hint="eastAsia" w:cs="Times New Roman"/>
                <w:color w:val="000000" w:themeColor="text1"/>
                <w:sz w:val="21"/>
                <w:szCs w:val="21"/>
              </w:rPr>
            </w:pPr>
          </w:p>
          <w:p>
            <w:pPr>
              <w:pStyle w:val="15"/>
              <w:spacing w:line="240" w:lineRule="auto"/>
              <w:rPr>
                <w:rFonts w:cs="Times New Roman" w:eastAsiaTheme="minorEastAsia"/>
                <w:color w:val="000000" w:themeColor="text1"/>
                <w:sz w:val="21"/>
                <w:szCs w:val="21"/>
              </w:rPr>
            </w:pPr>
            <w:r>
              <w:rPr>
                <w:rFonts w:hint="eastAsia" w:cs="Times New Roman"/>
                <w:color w:val="000000" w:themeColor="text1"/>
                <w:sz w:val="21"/>
                <w:szCs w:val="21"/>
              </w:rPr>
              <w:t xml:space="preserve">表7.2-13 </w:t>
            </w:r>
            <w:r>
              <w:rPr>
                <w:rFonts w:cs="Times New Roman" w:eastAsiaTheme="minorEastAsia"/>
                <w:color w:val="000000" w:themeColor="text1"/>
                <w:sz w:val="21"/>
                <w:szCs w:val="21"/>
              </w:rPr>
              <w:t>无组织排放预测结果一览表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8"/>
              <w:gridCol w:w="2887"/>
              <w:gridCol w:w="3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vMerge w:val="restart"/>
                  <w:tcBorders>
                    <w:top w:val="single" w:color="auto" w:sz="4" w:space="0"/>
                    <w:left w:val="single" w:color="auto" w:sz="4" w:space="0"/>
                    <w:bottom w:val="single" w:color="auto" w:sz="4" w:space="0"/>
                    <w:right w:val="single" w:color="auto" w:sz="4" w:space="0"/>
                  </w:tcBorders>
                  <w:vAlign w:val="center"/>
                </w:tcPr>
                <w:p>
                  <w:pPr>
                    <w:pStyle w:val="118"/>
                    <w:keepNext w:val="0"/>
                    <w:keepLines w:val="0"/>
                    <w:pageBreakBefore w:val="0"/>
                    <w:kinsoku/>
                    <w:wordWrap/>
                    <w:overflowPunct/>
                    <w:topLinePunct w:val="0"/>
                    <w:autoSpaceDE/>
                    <w:autoSpaceDN/>
                    <w:bidi w:val="0"/>
                    <w:adjustRightInd w:val="0"/>
                    <w:snapToGrid w:val="0"/>
                    <w:spacing w:line="240" w:lineRule="auto"/>
                    <w:textAlignment w:val="auto"/>
                    <w:rPr>
                      <w:rFonts w:eastAsiaTheme="minorEastAsia"/>
                      <w:color w:val="000000" w:themeColor="text1"/>
                      <w:sz w:val="21"/>
                      <w:szCs w:val="21"/>
                    </w:rPr>
                  </w:pPr>
                  <w:r>
                    <w:rPr>
                      <w:rFonts w:eastAsiaTheme="minorEastAsia"/>
                      <w:bCs/>
                      <w:color w:val="000000" w:themeColor="text1"/>
                      <w:sz w:val="21"/>
                      <w:szCs w:val="21"/>
                    </w:rPr>
                    <w:t>距离</w:t>
                  </w:r>
                </w:p>
              </w:tc>
              <w:tc>
                <w:tcPr>
                  <w:tcW w:w="3639" w:type="pct"/>
                  <w:gridSpan w:val="2"/>
                  <w:tcBorders>
                    <w:top w:val="single" w:color="auto" w:sz="4" w:space="0"/>
                    <w:left w:val="nil"/>
                    <w:bottom w:val="single" w:color="auto" w:sz="4" w:space="0"/>
                    <w:right w:val="single" w:color="auto" w:sz="4" w:space="0"/>
                  </w:tcBorders>
                  <w:vAlign w:val="center"/>
                </w:tcPr>
                <w:p>
                  <w:pPr>
                    <w:pStyle w:val="118"/>
                    <w:keepNext w:val="0"/>
                    <w:keepLines w:val="0"/>
                    <w:pageBreakBefore w:val="0"/>
                    <w:kinsoku/>
                    <w:wordWrap/>
                    <w:overflowPunct/>
                    <w:topLinePunct w:val="0"/>
                    <w:autoSpaceDE/>
                    <w:autoSpaceDN/>
                    <w:bidi w:val="0"/>
                    <w:adjustRightInd w:val="0"/>
                    <w:snapToGrid w:val="0"/>
                    <w:spacing w:line="240" w:lineRule="auto"/>
                    <w:jc w:val="center"/>
                    <w:textAlignment w:val="auto"/>
                    <w:rPr>
                      <w:rFonts w:eastAsiaTheme="minorEastAsia"/>
                      <w:color w:val="000000" w:themeColor="text1"/>
                      <w:sz w:val="21"/>
                      <w:szCs w:val="21"/>
                    </w:rPr>
                  </w:pPr>
                  <w:r>
                    <w:rPr>
                      <w:rFonts w:hint="eastAsia" w:eastAsiaTheme="minorEastAsia"/>
                      <w:color w:val="000000" w:themeColor="text1"/>
                      <w:sz w:val="21"/>
                      <w:szCs w:val="21"/>
                    </w:rPr>
                    <w:t>筒仓粉尘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cs="Times New Roman"/>
                      <w:color w:val="000000" w:themeColor="text1"/>
                      <w:kern w:val="0"/>
                      <w:sz w:val="21"/>
                      <w:szCs w:val="21"/>
                    </w:rPr>
                  </w:pPr>
                </w:p>
              </w:tc>
              <w:tc>
                <w:tcPr>
                  <w:tcW w:w="1739" w:type="pct"/>
                  <w:tcBorders>
                    <w:top w:val="single" w:color="auto" w:sz="4" w:space="0"/>
                    <w:left w:val="nil"/>
                    <w:bottom w:val="single" w:color="auto" w:sz="4" w:space="0"/>
                    <w:right w:val="single" w:color="auto" w:sz="4" w:space="0"/>
                  </w:tcBorders>
                  <w:vAlign w:val="center"/>
                </w:tcPr>
                <w:p>
                  <w:pPr>
                    <w:pStyle w:val="104"/>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themeColor="text1"/>
                      <w:kern w:val="0"/>
                      <w:sz w:val="21"/>
                      <w:szCs w:val="21"/>
                    </w:rPr>
                  </w:pPr>
                  <w:r>
                    <w:rPr>
                      <w:rFonts w:ascii="Times New Roman" w:hAnsi="Times New Roman" w:cs="Times New Roman"/>
                      <w:color w:val="000000" w:themeColor="text1"/>
                      <w:sz w:val="21"/>
                      <w:szCs w:val="21"/>
                    </w:rPr>
                    <w:t>浓度ug/m</w:t>
                  </w:r>
                  <w:r>
                    <w:rPr>
                      <w:rFonts w:ascii="Times New Roman" w:hAnsi="Times New Roman" w:cs="Times New Roman"/>
                      <w:color w:val="000000" w:themeColor="text1"/>
                      <w:sz w:val="21"/>
                      <w:szCs w:val="21"/>
                      <w:vertAlign w:val="superscript"/>
                    </w:rPr>
                    <w:t>3</w:t>
                  </w:r>
                </w:p>
              </w:tc>
              <w:tc>
                <w:tcPr>
                  <w:tcW w:w="1900" w:type="pct"/>
                  <w:tcBorders>
                    <w:top w:val="single" w:color="auto" w:sz="4" w:space="0"/>
                    <w:left w:val="nil"/>
                    <w:bottom w:val="single" w:color="auto" w:sz="4" w:space="0"/>
                    <w:right w:val="single" w:color="auto" w:sz="4" w:space="0"/>
                  </w:tcBorders>
                  <w:vAlign w:val="center"/>
                </w:tcPr>
                <w:p>
                  <w:pPr>
                    <w:pStyle w:val="104"/>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hAnsi="Times New Roman" w:cs="Times New Roman"/>
                      <w:color w:val="000000" w:themeColor="text1"/>
                      <w:kern w:val="0"/>
                      <w:sz w:val="21"/>
                      <w:szCs w:val="21"/>
                    </w:rPr>
                  </w:pPr>
                  <w:r>
                    <w:rPr>
                      <w:rFonts w:ascii="Times New Roman" w:hAnsi="Times New Roman" w:cs="Times New Roman"/>
                      <w:color w:val="000000" w:themeColor="text1"/>
                      <w:sz w:val="21"/>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kern w:val="0"/>
                      <w:sz w:val="21"/>
                      <w:szCs w:val="21"/>
                    </w:rPr>
                  </w:pPr>
                  <w:r>
                    <w:rPr>
                      <w:rFonts w:cs="Times New Roman"/>
                      <w:color w:val="000000" w:themeColor="text1"/>
                      <w:sz w:val="21"/>
                      <w:szCs w:val="21"/>
                    </w:rPr>
                    <w:t>50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41.985</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4.665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100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27.757</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3.084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200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11.191</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300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6.477</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400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4.383</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500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3.237</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600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2.527</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700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2.051</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800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1.710</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900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1.456</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1000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1.261</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1200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0.990</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1400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0.808</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1600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0.683</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1800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0.594</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2000</w:t>
                  </w:r>
                </w:p>
              </w:tc>
              <w:tc>
                <w:tcPr>
                  <w:tcW w:w="2887"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0.525</w:t>
                  </w:r>
                </w:p>
              </w:tc>
              <w:tc>
                <w:tcPr>
                  <w:tcW w:w="3155" w:type="dxa"/>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eastAsia="宋体" w:cs="Times New Roman"/>
                      <w:b w:val="0"/>
                      <w:sz w:val="21"/>
                      <w:szCs w:val="21"/>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最大落地浓度好最大占标率</w:t>
                  </w:r>
                </w:p>
              </w:tc>
              <w:tc>
                <w:tcPr>
                  <w:tcW w:w="173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eastAsiaTheme="minorEastAsia"/>
                      <w:color w:val="000000" w:themeColor="text1"/>
                      <w:sz w:val="21"/>
                      <w:szCs w:val="21"/>
                      <w:lang w:val="en-US" w:eastAsia="zh-CN"/>
                    </w:rPr>
                  </w:pPr>
                  <w:r>
                    <w:rPr>
                      <w:rFonts w:hint="eastAsia" w:cs="Times New Roman"/>
                      <w:color w:val="000000" w:themeColor="text1"/>
                      <w:sz w:val="21"/>
                      <w:szCs w:val="21"/>
                      <w:lang w:val="en-US" w:eastAsia="zh-CN"/>
                    </w:rPr>
                    <w:t>43.446</w:t>
                  </w:r>
                </w:p>
              </w:tc>
              <w:tc>
                <w:tcPr>
                  <w:tcW w:w="1900"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eastAsiaTheme="minorEastAsia"/>
                      <w:color w:val="000000" w:themeColor="text1"/>
                      <w:sz w:val="21"/>
                      <w:szCs w:val="21"/>
                      <w:lang w:val="en-US" w:eastAsia="zh-CN"/>
                    </w:rPr>
                  </w:pPr>
                  <w:r>
                    <w:rPr>
                      <w:rFonts w:hint="eastAsia" w:cs="Times New Roman"/>
                      <w:color w:val="000000" w:themeColor="text1"/>
                      <w:sz w:val="21"/>
                      <w:szCs w:val="21"/>
                      <w:lang w:val="en-US" w:eastAsia="zh-CN"/>
                    </w:rPr>
                    <w:t>4.827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最大落地距离</w:t>
                  </w:r>
                </w:p>
              </w:tc>
              <w:tc>
                <w:tcPr>
                  <w:tcW w:w="3639" w:type="pct"/>
                  <w:gridSpan w:val="2"/>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cs="Times New Roman"/>
                      <w:color w:val="000000" w:themeColor="text1"/>
                      <w:sz w:val="21"/>
                      <w:szCs w:val="21"/>
                    </w:rPr>
                  </w:pPr>
                  <w:r>
                    <w:rPr>
                      <w:rFonts w:cs="Times New Roman"/>
                      <w:color w:val="000000" w:themeColor="text1"/>
                      <w:sz w:val="21"/>
                      <w:szCs w:val="21"/>
                    </w:rPr>
                    <w:t>58.0</w:t>
                  </w:r>
                </w:p>
              </w:tc>
            </w:tr>
          </w:tbl>
          <w:p>
            <w:pPr>
              <w:spacing w:line="360" w:lineRule="auto"/>
              <w:ind w:firstLine="480" w:firstLineChars="200"/>
              <w:rPr>
                <w:rFonts w:cs="Times New Roman"/>
                <w:color w:val="000000" w:themeColor="text1"/>
                <w:szCs w:val="24"/>
              </w:rPr>
            </w:pPr>
            <w:r>
              <w:rPr>
                <w:rFonts w:cs="Times New Roman"/>
                <w:color w:val="000000" w:themeColor="text1"/>
                <w:szCs w:val="24"/>
              </w:rPr>
              <w:t>从估算结果可知，本项目无组织排放的粉尘C</w:t>
            </w:r>
            <w:r>
              <w:rPr>
                <w:rFonts w:cs="Times New Roman"/>
                <w:color w:val="000000" w:themeColor="text1"/>
                <w:szCs w:val="24"/>
                <w:vertAlign w:val="subscript"/>
              </w:rPr>
              <w:t>max</w:t>
            </w:r>
            <w:r>
              <w:rPr>
                <w:rFonts w:hint="eastAsia" w:cs="Times New Roman"/>
                <w:color w:val="000000" w:themeColor="text1"/>
                <w:szCs w:val="24"/>
                <w:lang w:eastAsia="zh-CN"/>
              </w:rPr>
              <w:t>：</w:t>
            </w:r>
            <w:r>
              <w:rPr>
                <w:rFonts w:hint="eastAsia" w:eastAsia="宋体" w:cs="Times New Roman"/>
                <w:b w:val="0"/>
                <w:sz w:val="23"/>
                <w:szCs w:val="23"/>
                <w:lang w:val="en-US" w:eastAsia="zh-CN"/>
              </w:rPr>
              <w:t>86.392</w:t>
            </w:r>
            <w:r>
              <w:rPr>
                <w:rFonts w:hint="default" w:ascii="Times New Roman" w:hAnsi="Times New Roman" w:eastAsia="宋体" w:cs="Times New Roman"/>
                <w:b w:val="0"/>
                <w:sz w:val="24"/>
                <w:szCs w:val="24"/>
                <w:lang w:val="en-US" w:eastAsia="zh-CN"/>
              </w:rPr>
              <w:t>μg/m³</w:t>
            </w:r>
            <w:r>
              <w:rPr>
                <w:rFonts w:cs="Times New Roman"/>
                <w:color w:val="000000" w:themeColor="text1"/>
                <w:szCs w:val="24"/>
              </w:rPr>
              <w:t>，P</w:t>
            </w:r>
            <w:r>
              <w:rPr>
                <w:rFonts w:cs="Times New Roman"/>
                <w:color w:val="000000" w:themeColor="text1"/>
                <w:szCs w:val="24"/>
                <w:vertAlign w:val="subscript"/>
              </w:rPr>
              <w:t>max</w:t>
            </w:r>
            <w:r>
              <w:rPr>
                <w:rFonts w:hint="eastAsia" w:cs="Times New Roman"/>
                <w:color w:val="000000" w:themeColor="text1"/>
                <w:szCs w:val="24"/>
                <w:vertAlign w:val="baseline"/>
                <w:lang w:eastAsia="zh-CN"/>
              </w:rPr>
              <w:t>：</w:t>
            </w:r>
            <w:r>
              <w:rPr>
                <w:rFonts w:hint="eastAsia" w:cs="Times New Roman"/>
                <w:color w:val="000000" w:themeColor="text1"/>
                <w:szCs w:val="24"/>
                <w:vertAlign w:val="baseline"/>
                <w:lang w:val="en-US" w:eastAsia="zh-CN"/>
              </w:rPr>
              <w:t>9.599</w:t>
            </w:r>
            <w:r>
              <w:rPr>
                <w:rFonts w:cs="Times New Roman"/>
                <w:color w:val="000000" w:themeColor="text1"/>
                <w:szCs w:val="24"/>
              </w:rPr>
              <w:t>%，距离为厂界下风向</w:t>
            </w:r>
            <w:r>
              <w:rPr>
                <w:rFonts w:hint="eastAsia" w:cs="Times New Roman"/>
                <w:color w:val="000000" w:themeColor="text1"/>
                <w:szCs w:val="24"/>
                <w:lang w:val="en-US" w:eastAsia="zh-CN"/>
              </w:rPr>
              <w:t>58</w:t>
            </w:r>
            <w:r>
              <w:rPr>
                <w:rFonts w:cs="Times New Roman"/>
                <w:color w:val="000000" w:themeColor="text1"/>
                <w:szCs w:val="24"/>
              </w:rPr>
              <w:t>m处。根据《环境影响评价技术导则大气环境》（HJ2.2-2018）分级判据，确定本项目大气环境影响评价工作等级为二级。</w:t>
            </w:r>
          </w:p>
          <w:p>
            <w:pPr>
              <w:pStyle w:val="15"/>
              <w:ind w:firstLine="482" w:firstLineChars="200"/>
              <w:jc w:val="both"/>
              <w:rPr>
                <w:rFonts w:cs="Times New Roman" w:eastAsiaTheme="minorEastAsia"/>
              </w:rPr>
            </w:pPr>
            <w:r>
              <w:rPr>
                <w:rFonts w:cs="Times New Roman" w:eastAsiaTheme="minorEastAsia"/>
              </w:rPr>
              <w:t>（3）敏感点</w:t>
            </w:r>
          </w:p>
          <w:p>
            <w:pPr>
              <w:spacing w:line="360" w:lineRule="auto"/>
              <w:ind w:firstLine="480" w:firstLineChars="200"/>
              <w:rPr>
                <w:rFonts w:cs="Times New Roman"/>
              </w:rPr>
            </w:pPr>
            <w:r>
              <w:rPr>
                <w:rFonts w:cs="Times New Roman"/>
              </w:rPr>
              <w:t>敏感点预测情况具体见下表所示。</w:t>
            </w:r>
          </w:p>
          <w:p>
            <w:pPr>
              <w:jc w:val="center"/>
              <w:rPr>
                <w:rFonts w:cs="Times New Roman"/>
                <w:b/>
                <w:sz w:val="21"/>
              </w:rPr>
            </w:pPr>
            <w:r>
              <w:rPr>
                <w:rFonts w:cs="Times New Roman"/>
                <w:b/>
                <w:sz w:val="21"/>
              </w:rPr>
              <w:t>表7-2.14  环境敏感点预测结果一栏表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672"/>
              <w:gridCol w:w="1538"/>
              <w:gridCol w:w="1139"/>
              <w:gridCol w:w="1559"/>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2288" w:type="pct"/>
                  <w:gridSpan w:val="3"/>
                  <w:tcBorders>
                    <w:tl2br w:val="nil"/>
                    <w:tr2bl w:val="nil"/>
                  </w:tcBorders>
                  <w:vAlign w:val="center"/>
                </w:tcPr>
                <w:p>
                  <w:pPr>
                    <w:jc w:val="center"/>
                    <w:rPr>
                      <w:rFonts w:cs="Times New Roman"/>
                      <w:sz w:val="21"/>
                    </w:rPr>
                  </w:pPr>
                  <w:r>
                    <w:rPr>
                      <w:rFonts w:cs="Times New Roman"/>
                      <w:sz w:val="21"/>
                    </w:rPr>
                    <w:t>离散点信息</w:t>
                  </w:r>
                </w:p>
              </w:tc>
              <w:tc>
                <w:tcPr>
                  <w:tcW w:w="2711" w:type="pct"/>
                  <w:gridSpan w:val="3"/>
                  <w:tcBorders>
                    <w:tl2br w:val="nil"/>
                    <w:tr2bl w:val="nil"/>
                  </w:tcBorders>
                  <w:vAlign w:val="center"/>
                </w:tcPr>
                <w:p>
                  <w:pPr>
                    <w:jc w:val="center"/>
                    <w:rPr>
                      <w:rFonts w:cs="Times New Roman"/>
                      <w:sz w:val="21"/>
                    </w:rPr>
                  </w:pPr>
                  <w:r>
                    <w:rPr>
                      <w:rFonts w:cs="Times New Roman"/>
                      <w:sz w:val="21"/>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55" w:type="pct"/>
                  <w:tcBorders>
                    <w:tl2br w:val="nil"/>
                    <w:tr2bl w:val="nil"/>
                  </w:tcBorders>
                  <w:vAlign w:val="center"/>
                </w:tcPr>
                <w:p>
                  <w:pPr>
                    <w:jc w:val="center"/>
                    <w:rPr>
                      <w:rFonts w:cs="Times New Roman"/>
                      <w:sz w:val="21"/>
                    </w:rPr>
                  </w:pPr>
                  <w:r>
                    <w:rPr>
                      <w:rFonts w:cs="Times New Roman"/>
                      <w:sz w:val="21"/>
                    </w:rPr>
                    <w:t>离散点名称</w:t>
                  </w:r>
                </w:p>
              </w:tc>
              <w:tc>
                <w:tcPr>
                  <w:tcW w:w="1007" w:type="pct"/>
                  <w:tcBorders>
                    <w:tl2br w:val="nil"/>
                    <w:tr2bl w:val="nil"/>
                  </w:tcBorders>
                  <w:vAlign w:val="center"/>
                </w:tcPr>
                <w:p>
                  <w:pPr>
                    <w:jc w:val="center"/>
                    <w:rPr>
                      <w:rFonts w:cs="Times New Roman"/>
                      <w:sz w:val="21"/>
                    </w:rPr>
                  </w:pPr>
                  <w:r>
                    <w:rPr>
                      <w:rFonts w:cs="Times New Roman"/>
                      <w:sz w:val="21"/>
                    </w:rPr>
                    <w:t>经度(度)</w:t>
                  </w:r>
                </w:p>
              </w:tc>
              <w:tc>
                <w:tcPr>
                  <w:tcW w:w="926" w:type="pct"/>
                  <w:tcBorders>
                    <w:tl2br w:val="nil"/>
                    <w:tr2bl w:val="nil"/>
                  </w:tcBorders>
                  <w:vAlign w:val="center"/>
                </w:tcPr>
                <w:p>
                  <w:pPr>
                    <w:jc w:val="center"/>
                    <w:rPr>
                      <w:rFonts w:cs="Times New Roman"/>
                      <w:sz w:val="21"/>
                    </w:rPr>
                  </w:pPr>
                  <w:r>
                    <w:rPr>
                      <w:rFonts w:cs="Times New Roman"/>
                      <w:sz w:val="21"/>
                    </w:rPr>
                    <w:t>纬度(度)</w:t>
                  </w:r>
                </w:p>
              </w:tc>
              <w:tc>
                <w:tcPr>
                  <w:tcW w:w="686" w:type="pct"/>
                  <w:tcBorders>
                    <w:tl2br w:val="nil"/>
                    <w:tr2bl w:val="nil"/>
                  </w:tcBorders>
                  <w:vAlign w:val="center"/>
                </w:tcPr>
                <w:p>
                  <w:pPr>
                    <w:jc w:val="center"/>
                    <w:rPr>
                      <w:rFonts w:cs="Times New Roman"/>
                      <w:sz w:val="21"/>
                    </w:rPr>
                  </w:pPr>
                  <w:r>
                    <w:rPr>
                      <w:rFonts w:cs="Times New Roman"/>
                      <w:sz w:val="21"/>
                    </w:rPr>
                    <w:t>海拔(m)</w:t>
                  </w:r>
                </w:p>
              </w:tc>
              <w:tc>
                <w:tcPr>
                  <w:tcW w:w="939" w:type="pct"/>
                  <w:tcBorders>
                    <w:tl2br w:val="nil"/>
                    <w:tr2bl w:val="nil"/>
                  </w:tcBorders>
                  <w:vAlign w:val="center"/>
                </w:tcPr>
                <w:p>
                  <w:pPr>
                    <w:jc w:val="center"/>
                    <w:rPr>
                      <w:rFonts w:cs="Times New Roman"/>
                      <w:sz w:val="21"/>
                    </w:rPr>
                  </w:pPr>
                  <w:r>
                    <w:rPr>
                      <w:rFonts w:cs="Times New Roman"/>
                      <w:sz w:val="21"/>
                    </w:rPr>
                    <w:t>下风向距离(m)</w:t>
                  </w:r>
                </w:p>
              </w:tc>
              <w:tc>
                <w:tcPr>
                  <w:tcW w:w="1085" w:type="pct"/>
                  <w:tcBorders>
                    <w:tl2br w:val="nil"/>
                    <w:tr2bl w:val="nil"/>
                  </w:tcBorders>
                  <w:vAlign w:val="center"/>
                </w:tcPr>
                <w:p>
                  <w:pPr>
                    <w:jc w:val="center"/>
                    <w:rPr>
                      <w:rFonts w:cs="Times New Roman"/>
                      <w:sz w:val="21"/>
                    </w:rPr>
                  </w:pPr>
                  <w:r>
                    <w:rPr>
                      <w:rFonts w:cs="Times New Roman"/>
                      <w:sz w:val="21"/>
                    </w:rPr>
                    <w:t>PM</w:t>
                  </w:r>
                  <w:r>
                    <w:rPr>
                      <w:rFonts w:cs="Times New Roman"/>
                      <w:sz w:val="21"/>
                      <w:vertAlign w:val="subscript"/>
                    </w:rPr>
                    <w:t>10</w:t>
                  </w:r>
                  <w:r>
                    <w:rPr>
                      <w:rFonts w:cs="Times New Roman"/>
                      <w:sz w:val="21"/>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55" w:type="pct"/>
                  <w:tcBorders>
                    <w:tl2br w:val="nil"/>
                    <w:tr2bl w:val="nil"/>
                  </w:tcBorders>
                  <w:vAlign w:val="center"/>
                </w:tcPr>
                <w:p>
                  <w:pPr>
                    <w:jc w:val="center"/>
                    <w:rPr>
                      <w:rFonts w:cs="Times New Roman"/>
                      <w:sz w:val="21"/>
                    </w:rPr>
                  </w:pPr>
                  <w:r>
                    <w:rPr>
                      <w:rFonts w:cs="Times New Roman"/>
                      <w:sz w:val="21"/>
                    </w:rPr>
                    <w:t>敏感点</w:t>
                  </w:r>
                </w:p>
              </w:tc>
              <w:tc>
                <w:tcPr>
                  <w:tcW w:w="1007" w:type="pct"/>
                  <w:tcBorders>
                    <w:tl2br w:val="nil"/>
                    <w:tr2bl w:val="nil"/>
                  </w:tcBorders>
                  <w:vAlign w:val="center"/>
                </w:tcPr>
                <w:p>
                  <w:pPr>
                    <w:jc w:val="center"/>
                    <w:rPr>
                      <w:rFonts w:cs="Times New Roman"/>
                      <w:sz w:val="21"/>
                    </w:rPr>
                  </w:pPr>
                  <w:r>
                    <w:rPr>
                      <w:rFonts w:cs="Times New Roman"/>
                      <w:sz w:val="21"/>
                    </w:rPr>
                    <w:t>113.214579</w:t>
                  </w:r>
                </w:p>
              </w:tc>
              <w:tc>
                <w:tcPr>
                  <w:tcW w:w="926" w:type="pct"/>
                  <w:tcBorders>
                    <w:tl2br w:val="nil"/>
                    <w:tr2bl w:val="nil"/>
                  </w:tcBorders>
                  <w:vAlign w:val="center"/>
                </w:tcPr>
                <w:p>
                  <w:pPr>
                    <w:jc w:val="center"/>
                    <w:rPr>
                      <w:rFonts w:cs="Times New Roman"/>
                      <w:sz w:val="21"/>
                    </w:rPr>
                  </w:pPr>
                  <w:r>
                    <w:rPr>
                      <w:rFonts w:cs="Times New Roman"/>
                      <w:sz w:val="21"/>
                    </w:rPr>
                    <w:t>29.492494</w:t>
                  </w:r>
                </w:p>
              </w:tc>
              <w:tc>
                <w:tcPr>
                  <w:tcW w:w="686" w:type="pct"/>
                  <w:tcBorders>
                    <w:tl2br w:val="nil"/>
                    <w:tr2bl w:val="nil"/>
                  </w:tcBorders>
                  <w:vAlign w:val="center"/>
                </w:tcPr>
                <w:p>
                  <w:pPr>
                    <w:jc w:val="center"/>
                    <w:rPr>
                      <w:rFonts w:cs="Times New Roman"/>
                      <w:sz w:val="21"/>
                    </w:rPr>
                  </w:pPr>
                  <w:r>
                    <w:rPr>
                      <w:rFonts w:cs="Times New Roman"/>
                      <w:sz w:val="21"/>
                    </w:rPr>
                    <w:t>37.0</w:t>
                  </w:r>
                </w:p>
              </w:tc>
              <w:tc>
                <w:tcPr>
                  <w:tcW w:w="1559" w:type="dxa"/>
                  <w:tcBorders>
                    <w:tl2br w:val="nil"/>
                    <w:tr2bl w:val="nil"/>
                  </w:tcBorders>
                  <w:vAlign w:val="center"/>
                </w:tcPr>
                <w:p>
                  <w:pPr>
                    <w:jc w:val="center"/>
                    <w:rPr>
                      <w:rFonts w:hint="default" w:ascii="Times New Roman" w:hAnsi="Times New Roman" w:cs="Times New Roman"/>
                      <w:sz w:val="21"/>
                    </w:rPr>
                  </w:pPr>
                  <w:r>
                    <w:rPr>
                      <w:rFonts w:hint="default" w:ascii="Times New Roman" w:hAnsi="Times New Roman" w:eastAsia="宋体" w:cs="Times New Roman"/>
                      <w:b w:val="0"/>
                      <w:sz w:val="23"/>
                      <w:szCs w:val="23"/>
                    </w:rPr>
                    <w:t>89.96</w:t>
                  </w:r>
                </w:p>
              </w:tc>
              <w:tc>
                <w:tcPr>
                  <w:tcW w:w="1803" w:type="dxa"/>
                  <w:tcBorders>
                    <w:tl2br w:val="nil"/>
                    <w:tr2bl w:val="nil"/>
                  </w:tcBorders>
                  <w:vAlign w:val="center"/>
                </w:tcPr>
                <w:p>
                  <w:pPr>
                    <w:jc w:val="center"/>
                    <w:rPr>
                      <w:rFonts w:hint="default" w:ascii="Times New Roman" w:hAnsi="Times New Roman" w:cs="Times New Roman"/>
                      <w:sz w:val="21"/>
                    </w:rPr>
                  </w:pPr>
                  <w:r>
                    <w:rPr>
                      <w:rFonts w:hint="default" w:ascii="Times New Roman" w:hAnsi="Times New Roman" w:eastAsia="宋体" w:cs="Times New Roman"/>
                      <w:b w:val="0"/>
                      <w:sz w:val="23"/>
                      <w:szCs w:val="23"/>
                    </w:rPr>
                    <w:t>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355" w:type="pct"/>
                  <w:tcBorders>
                    <w:tl2br w:val="nil"/>
                    <w:tr2bl w:val="nil"/>
                  </w:tcBorders>
                  <w:vAlign w:val="center"/>
                </w:tcPr>
                <w:p>
                  <w:pPr>
                    <w:jc w:val="center"/>
                    <w:rPr>
                      <w:rFonts w:cs="Times New Roman"/>
                      <w:sz w:val="21"/>
                    </w:rPr>
                  </w:pPr>
                  <w:r>
                    <w:rPr>
                      <w:rFonts w:cs="Times New Roman"/>
                      <w:sz w:val="21"/>
                    </w:rPr>
                    <w:t>敏感点</w:t>
                  </w:r>
                </w:p>
              </w:tc>
              <w:tc>
                <w:tcPr>
                  <w:tcW w:w="1007" w:type="pct"/>
                  <w:tcBorders>
                    <w:tl2br w:val="nil"/>
                    <w:tr2bl w:val="nil"/>
                  </w:tcBorders>
                  <w:vAlign w:val="center"/>
                </w:tcPr>
                <w:p>
                  <w:pPr>
                    <w:jc w:val="center"/>
                    <w:rPr>
                      <w:rFonts w:cs="Times New Roman"/>
                      <w:sz w:val="21"/>
                    </w:rPr>
                  </w:pPr>
                  <w:r>
                    <w:rPr>
                      <w:rFonts w:cs="Times New Roman"/>
                      <w:sz w:val="21"/>
                    </w:rPr>
                    <w:t>113.215238</w:t>
                  </w:r>
                </w:p>
              </w:tc>
              <w:tc>
                <w:tcPr>
                  <w:tcW w:w="926" w:type="pct"/>
                  <w:tcBorders>
                    <w:tl2br w:val="nil"/>
                    <w:tr2bl w:val="nil"/>
                  </w:tcBorders>
                  <w:vAlign w:val="center"/>
                </w:tcPr>
                <w:p>
                  <w:pPr>
                    <w:jc w:val="center"/>
                    <w:rPr>
                      <w:rFonts w:cs="Times New Roman"/>
                      <w:sz w:val="21"/>
                    </w:rPr>
                  </w:pPr>
                  <w:r>
                    <w:rPr>
                      <w:rFonts w:cs="Times New Roman"/>
                      <w:sz w:val="21"/>
                    </w:rPr>
                    <w:t>29.488637</w:t>
                  </w:r>
                </w:p>
              </w:tc>
              <w:tc>
                <w:tcPr>
                  <w:tcW w:w="686" w:type="pct"/>
                  <w:tcBorders>
                    <w:tl2br w:val="nil"/>
                    <w:tr2bl w:val="nil"/>
                  </w:tcBorders>
                  <w:vAlign w:val="center"/>
                </w:tcPr>
                <w:p>
                  <w:pPr>
                    <w:jc w:val="center"/>
                    <w:rPr>
                      <w:rFonts w:cs="Times New Roman"/>
                      <w:sz w:val="21"/>
                    </w:rPr>
                  </w:pPr>
                  <w:r>
                    <w:rPr>
                      <w:rFonts w:cs="Times New Roman"/>
                      <w:sz w:val="21"/>
                    </w:rPr>
                    <w:t>33.0</w:t>
                  </w:r>
                </w:p>
              </w:tc>
              <w:tc>
                <w:tcPr>
                  <w:tcW w:w="1559" w:type="dxa"/>
                  <w:tcBorders>
                    <w:tl2br w:val="nil"/>
                    <w:tr2bl w:val="nil"/>
                  </w:tcBorders>
                  <w:vAlign w:val="center"/>
                </w:tcPr>
                <w:p>
                  <w:pPr>
                    <w:jc w:val="center"/>
                    <w:rPr>
                      <w:rFonts w:hint="default" w:ascii="Times New Roman" w:hAnsi="Times New Roman" w:cs="Times New Roman"/>
                      <w:sz w:val="21"/>
                    </w:rPr>
                  </w:pPr>
                  <w:r>
                    <w:rPr>
                      <w:rFonts w:hint="default" w:ascii="Times New Roman" w:hAnsi="Times New Roman" w:eastAsia="宋体" w:cs="Times New Roman"/>
                      <w:b w:val="0"/>
                      <w:sz w:val="23"/>
                      <w:szCs w:val="23"/>
                    </w:rPr>
                    <w:t>374.83</w:t>
                  </w:r>
                </w:p>
              </w:tc>
              <w:tc>
                <w:tcPr>
                  <w:tcW w:w="1803" w:type="dxa"/>
                  <w:tcBorders>
                    <w:tl2br w:val="nil"/>
                    <w:tr2bl w:val="nil"/>
                  </w:tcBorders>
                  <w:vAlign w:val="center"/>
                </w:tcPr>
                <w:p>
                  <w:pPr>
                    <w:jc w:val="center"/>
                    <w:rPr>
                      <w:rFonts w:hint="default" w:ascii="Times New Roman" w:hAnsi="Times New Roman" w:cs="Times New Roman"/>
                      <w:sz w:val="21"/>
                    </w:rPr>
                  </w:pPr>
                  <w:r>
                    <w:rPr>
                      <w:rFonts w:hint="default" w:ascii="Times New Roman" w:hAnsi="Times New Roman" w:eastAsia="宋体" w:cs="Times New Roman"/>
                      <w:b w:val="0"/>
                      <w:sz w:val="23"/>
                      <w:szCs w:val="23"/>
                    </w:rPr>
                    <w:t>0.100</w:t>
                  </w:r>
                </w:p>
              </w:tc>
            </w:tr>
          </w:tbl>
          <w:p>
            <w:pPr>
              <w:jc w:val="center"/>
              <w:rPr>
                <w:rFonts w:cs="Times New Roman"/>
                <w:b/>
                <w:sz w:val="21"/>
              </w:rPr>
            </w:pPr>
          </w:p>
          <w:p>
            <w:pPr>
              <w:jc w:val="center"/>
              <w:rPr>
                <w:rFonts w:cs="Times New Roman"/>
                <w:b/>
                <w:sz w:val="21"/>
              </w:rPr>
            </w:pPr>
          </w:p>
          <w:p>
            <w:pPr>
              <w:jc w:val="center"/>
              <w:rPr>
                <w:rFonts w:cs="Times New Roman"/>
                <w:b/>
                <w:sz w:val="21"/>
              </w:rPr>
            </w:pPr>
          </w:p>
          <w:p>
            <w:pPr>
              <w:jc w:val="center"/>
              <w:rPr>
                <w:rFonts w:cs="Times New Roman"/>
                <w:sz w:val="21"/>
              </w:rPr>
            </w:pPr>
            <w:r>
              <w:rPr>
                <w:rFonts w:cs="Times New Roman"/>
                <w:b/>
                <w:sz w:val="21"/>
              </w:rPr>
              <w:t>表7.2-15</w:t>
            </w:r>
            <w:r>
              <w:rPr>
                <w:rFonts w:cs="Times New Roman"/>
                <w:sz w:val="21"/>
              </w:rPr>
              <w:t xml:space="preserve"> </w:t>
            </w:r>
            <w:r>
              <w:rPr>
                <w:rFonts w:hint="eastAsia" w:cs="Times New Roman"/>
                <w:sz w:val="21"/>
                <w:lang w:val="en-US" w:eastAsia="zh-CN"/>
              </w:rPr>
              <w:t xml:space="preserve"> </w:t>
            </w:r>
            <w:r>
              <w:rPr>
                <w:rFonts w:cs="Times New Roman"/>
                <w:b/>
                <w:sz w:val="21"/>
              </w:rPr>
              <w:t>环境敏感点预测结果一栏表</w:t>
            </w:r>
          </w:p>
          <w:tbl>
            <w:tblPr>
              <w:tblStyle w:val="33"/>
              <w:tblW w:w="830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1206"/>
              <w:gridCol w:w="1109"/>
              <w:gridCol w:w="853"/>
              <w:gridCol w:w="1037"/>
              <w:gridCol w:w="1436"/>
              <w:gridCol w:w="806"/>
              <w:gridCol w:w="14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7" w:hRule="atLeast"/>
              </w:trPr>
              <w:tc>
                <w:tcPr>
                  <w:tcW w:w="1649" w:type="pct"/>
                  <w:gridSpan w:val="3"/>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离散点信息</w:t>
                  </w:r>
                </w:p>
              </w:tc>
              <w:tc>
                <w:tcPr>
                  <w:tcW w:w="2001" w:type="pct"/>
                  <w:gridSpan w:val="3"/>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装卸料粉尘</w:t>
                  </w:r>
                </w:p>
              </w:tc>
              <w:tc>
                <w:tcPr>
                  <w:tcW w:w="1348" w:type="pct"/>
                  <w:gridSpan w:val="2"/>
                  <w:tcBorders>
                    <w:top w:val="single" w:color="auto" w:sz="4" w:space="0"/>
                    <w:left w:val="single" w:color="auto" w:sz="2"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砂石堆场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0" w:hRule="atLeast"/>
              </w:trPr>
              <w:tc>
                <w:tcPr>
                  <w:tcW w:w="256" w:type="pct"/>
                  <w:tcBorders>
                    <w:top w:val="single" w:color="auto" w:sz="4" w:space="0"/>
                    <w:left w:val="single" w:color="auto" w:sz="4"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离散点名称</w:t>
                  </w:r>
                </w:p>
              </w:tc>
              <w:tc>
                <w:tcPr>
                  <w:tcW w:w="72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经度(度)</w:t>
                  </w:r>
                </w:p>
              </w:tc>
              <w:tc>
                <w:tcPr>
                  <w:tcW w:w="667"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纬度(度)</w:t>
                  </w:r>
                </w:p>
              </w:tc>
              <w:tc>
                <w:tcPr>
                  <w:tcW w:w="513"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海拔(m)</w:t>
                  </w:r>
                </w:p>
              </w:tc>
              <w:tc>
                <w:tcPr>
                  <w:tcW w:w="624"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下风向距离(m)</w:t>
                  </w:r>
                </w:p>
              </w:tc>
              <w:tc>
                <w:tcPr>
                  <w:tcW w:w="864"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PM</w:t>
                  </w:r>
                  <w:r>
                    <w:rPr>
                      <w:rFonts w:hint="default" w:ascii="Times New Roman" w:hAnsi="Times New Roman" w:cs="Times New Roman"/>
                      <w:sz w:val="21"/>
                      <w:vertAlign w:val="subscript"/>
                    </w:rPr>
                    <w:t>10</w:t>
                  </w:r>
                  <w:r>
                    <w:rPr>
                      <w:rFonts w:hint="default" w:ascii="Times New Roman" w:hAnsi="Times New Roman" w:cs="Times New Roman"/>
                      <w:sz w:val="21"/>
                    </w:rPr>
                    <w:t>(μg/m³)</w:t>
                  </w:r>
                </w:p>
              </w:tc>
              <w:tc>
                <w:tcPr>
                  <w:tcW w:w="48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下风向距离(m)</w:t>
                  </w:r>
                </w:p>
              </w:tc>
              <w:tc>
                <w:tcPr>
                  <w:tcW w:w="863" w:type="pct"/>
                  <w:tcBorders>
                    <w:top w:val="single" w:color="auto" w:sz="4" w:space="0"/>
                    <w:left w:val="single" w:color="auto" w:sz="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TSP(μg/m³)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0" w:hRule="atLeast"/>
              </w:trPr>
              <w:tc>
                <w:tcPr>
                  <w:tcW w:w="256" w:type="pct"/>
                  <w:tcBorders>
                    <w:top w:val="single" w:color="auto" w:sz="4" w:space="0"/>
                    <w:left w:val="single" w:color="auto" w:sz="4"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敏感点</w:t>
                  </w:r>
                </w:p>
              </w:tc>
              <w:tc>
                <w:tcPr>
                  <w:tcW w:w="72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113.214579</w:t>
                  </w:r>
                </w:p>
              </w:tc>
              <w:tc>
                <w:tcPr>
                  <w:tcW w:w="667"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29.492494</w:t>
                  </w:r>
                </w:p>
              </w:tc>
              <w:tc>
                <w:tcPr>
                  <w:tcW w:w="513"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37.0</w:t>
                  </w:r>
                </w:p>
              </w:tc>
              <w:tc>
                <w:tcPr>
                  <w:tcW w:w="624"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96.37</w:t>
                  </w:r>
                </w:p>
              </w:tc>
              <w:tc>
                <w:tcPr>
                  <w:tcW w:w="864"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57.761</w:t>
                  </w:r>
                </w:p>
              </w:tc>
              <w:tc>
                <w:tcPr>
                  <w:tcW w:w="48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768.92</w:t>
                  </w:r>
                </w:p>
              </w:tc>
              <w:tc>
                <w:tcPr>
                  <w:tcW w:w="863" w:type="pct"/>
                  <w:tcBorders>
                    <w:top w:val="single" w:color="auto" w:sz="4" w:space="0"/>
                    <w:left w:val="single" w:color="auto" w:sz="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0.171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0" w:hRule="atLeast"/>
              </w:trPr>
              <w:tc>
                <w:tcPr>
                  <w:tcW w:w="256" w:type="pct"/>
                  <w:tcBorders>
                    <w:top w:val="single" w:color="auto" w:sz="4" w:space="0"/>
                    <w:left w:val="single" w:color="auto" w:sz="4"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敏感点</w:t>
                  </w:r>
                </w:p>
              </w:tc>
              <w:tc>
                <w:tcPr>
                  <w:tcW w:w="72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113.215238</w:t>
                  </w:r>
                </w:p>
              </w:tc>
              <w:tc>
                <w:tcPr>
                  <w:tcW w:w="667"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29.488637</w:t>
                  </w:r>
                </w:p>
              </w:tc>
              <w:tc>
                <w:tcPr>
                  <w:tcW w:w="513"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33.0</w:t>
                  </w:r>
                </w:p>
              </w:tc>
              <w:tc>
                <w:tcPr>
                  <w:tcW w:w="624"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398.61</w:t>
                  </w:r>
                </w:p>
              </w:tc>
              <w:tc>
                <w:tcPr>
                  <w:tcW w:w="864"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eastAsia="宋体" w:cs="Times New Roman"/>
                      <w:b w:val="0"/>
                      <w:sz w:val="23"/>
                      <w:szCs w:val="23"/>
                    </w:rPr>
                    <w:t>8.803</w:t>
                  </w:r>
                </w:p>
              </w:tc>
              <w:tc>
                <w:tcPr>
                  <w:tcW w:w="48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550.43</w:t>
                  </w:r>
                </w:p>
              </w:tc>
              <w:tc>
                <w:tcPr>
                  <w:tcW w:w="863" w:type="pct"/>
                  <w:tcBorders>
                    <w:top w:val="single" w:color="auto" w:sz="4" w:space="0"/>
                    <w:left w:val="single" w:color="auto" w:sz="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rPr>
                  </w:pPr>
                  <w:r>
                    <w:rPr>
                      <w:rFonts w:hint="default" w:ascii="Times New Roman" w:hAnsi="Times New Roman" w:cs="Times New Roman"/>
                      <w:sz w:val="21"/>
                    </w:rPr>
                    <w:t>0.270</w:t>
                  </w:r>
                </w:p>
              </w:tc>
            </w:tr>
          </w:tbl>
          <w:p>
            <w:pPr>
              <w:pStyle w:val="15"/>
              <w:spacing w:line="240" w:lineRule="auto"/>
              <w:ind w:firstLine="422" w:firstLineChars="200"/>
              <w:rPr>
                <w:rFonts w:cs="Times New Roman" w:eastAsiaTheme="minorEastAsia"/>
                <w:sz w:val="21"/>
                <w:szCs w:val="21"/>
              </w:rPr>
            </w:pPr>
            <w:r>
              <w:rPr>
                <w:rFonts w:hint="eastAsia" w:cs="Times New Roman" w:eastAsiaTheme="minorEastAsia"/>
                <w:sz w:val="21"/>
                <w:szCs w:val="21"/>
              </w:rPr>
              <w:t xml:space="preserve">表7.2-16 </w:t>
            </w:r>
            <w:r>
              <w:rPr>
                <w:rFonts w:cs="Times New Roman" w:eastAsiaTheme="minorEastAsia"/>
                <w:sz w:val="21"/>
                <w:szCs w:val="21"/>
              </w:rPr>
              <w:t>环境敏感点预测结果一栏表</w:t>
            </w:r>
          </w:p>
          <w:tbl>
            <w:tblPr>
              <w:tblStyle w:val="33"/>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38"/>
              <w:gridCol w:w="1490"/>
              <w:gridCol w:w="1522"/>
              <w:gridCol w:w="1168"/>
              <w:gridCol w:w="1417"/>
              <w:gridCol w:w="19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7" w:hRule="atLeast"/>
              </w:trPr>
              <w:tc>
                <w:tcPr>
                  <w:tcW w:w="2258" w:type="pct"/>
                  <w:gridSpan w:val="3"/>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离散点信息</w:t>
                  </w:r>
                </w:p>
              </w:tc>
              <w:tc>
                <w:tcPr>
                  <w:tcW w:w="2741" w:type="pct"/>
                  <w:gridSpan w:val="3"/>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hint="eastAsia" w:cs="Times New Roman"/>
                      <w:sz w:val="21"/>
                    </w:rPr>
                    <w:t>筒仓粉尘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76" w:hRule="atLeast"/>
              </w:trPr>
              <w:tc>
                <w:tcPr>
                  <w:tcW w:w="445" w:type="pct"/>
                  <w:tcBorders>
                    <w:top w:val="single" w:color="auto" w:sz="4" w:space="0"/>
                    <w:left w:val="single" w:color="auto" w:sz="4"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离散点名称</w:t>
                  </w:r>
                </w:p>
              </w:tc>
              <w:tc>
                <w:tcPr>
                  <w:tcW w:w="897"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经度(度)</w:t>
                  </w:r>
                </w:p>
              </w:tc>
              <w:tc>
                <w:tcPr>
                  <w:tcW w:w="91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纬度(度)</w:t>
                  </w:r>
                </w:p>
              </w:tc>
              <w:tc>
                <w:tcPr>
                  <w:tcW w:w="703"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海拔(m)</w:t>
                  </w:r>
                </w:p>
              </w:tc>
              <w:tc>
                <w:tcPr>
                  <w:tcW w:w="853"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下风向距离(m)</w:t>
                  </w:r>
                </w:p>
              </w:tc>
              <w:tc>
                <w:tcPr>
                  <w:tcW w:w="118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TSP(μg/m³)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0" w:hRule="atLeast"/>
              </w:trPr>
              <w:tc>
                <w:tcPr>
                  <w:tcW w:w="445" w:type="pct"/>
                  <w:tcBorders>
                    <w:top w:val="single" w:color="auto" w:sz="4" w:space="0"/>
                    <w:left w:val="single" w:color="auto" w:sz="4"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敏感点</w:t>
                  </w:r>
                </w:p>
              </w:tc>
              <w:tc>
                <w:tcPr>
                  <w:tcW w:w="897"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113.214579</w:t>
                  </w:r>
                </w:p>
              </w:tc>
              <w:tc>
                <w:tcPr>
                  <w:tcW w:w="91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29.492494</w:t>
                  </w:r>
                </w:p>
              </w:tc>
              <w:tc>
                <w:tcPr>
                  <w:tcW w:w="703"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eastAsia="宋体" w:cs="Times New Roman"/>
                      <w:sz w:val="23"/>
                      <w:szCs w:val="23"/>
                    </w:rPr>
                    <w:t>37.0</w:t>
                  </w:r>
                </w:p>
              </w:tc>
              <w:tc>
                <w:tcPr>
                  <w:tcW w:w="853"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eastAsia="宋体" w:cs="Times New Roman"/>
                      <w:sz w:val="23"/>
                      <w:szCs w:val="23"/>
                    </w:rPr>
                    <w:t>95.77</w:t>
                  </w:r>
                </w:p>
              </w:tc>
              <w:tc>
                <w:tcPr>
                  <w:tcW w:w="118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29.259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0" w:hRule="atLeast"/>
              </w:trPr>
              <w:tc>
                <w:tcPr>
                  <w:tcW w:w="445" w:type="pct"/>
                  <w:tcBorders>
                    <w:top w:val="single" w:color="auto" w:sz="4" w:space="0"/>
                    <w:left w:val="single" w:color="auto" w:sz="4"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敏感点</w:t>
                  </w:r>
                </w:p>
              </w:tc>
              <w:tc>
                <w:tcPr>
                  <w:tcW w:w="897"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113.215238</w:t>
                  </w:r>
                </w:p>
              </w:tc>
              <w:tc>
                <w:tcPr>
                  <w:tcW w:w="91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29.488637</w:t>
                  </w:r>
                </w:p>
              </w:tc>
              <w:tc>
                <w:tcPr>
                  <w:tcW w:w="703"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eastAsia="宋体" w:cs="Times New Roman"/>
                      <w:sz w:val="23"/>
                      <w:szCs w:val="23"/>
                    </w:rPr>
                    <w:t>33.0</w:t>
                  </w:r>
                </w:p>
              </w:tc>
              <w:tc>
                <w:tcPr>
                  <w:tcW w:w="853"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eastAsia="宋体" w:cs="Times New Roman"/>
                      <w:sz w:val="23"/>
                      <w:szCs w:val="23"/>
                    </w:rPr>
                    <w:t>398.24</w:t>
                  </w:r>
                </w:p>
              </w:tc>
              <w:tc>
                <w:tcPr>
                  <w:tcW w:w="1185" w:type="pct"/>
                  <w:tcBorders>
                    <w:top w:val="single" w:color="auto" w:sz="4" w:space="0"/>
                    <w:left w:val="single" w:color="auto" w:sz="2" w:space="0"/>
                    <w:bottom w:val="single" w:color="auto" w:sz="4"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4.410</w:t>
                  </w:r>
                </w:p>
              </w:tc>
            </w:tr>
          </w:tbl>
          <w:p>
            <w:pPr>
              <w:pStyle w:val="15"/>
              <w:ind w:firstLine="482" w:firstLineChars="200"/>
              <w:jc w:val="both"/>
              <w:rPr>
                <w:rFonts w:cs="Times New Roman" w:eastAsiaTheme="minorEastAsia"/>
              </w:rPr>
            </w:pPr>
            <w:r>
              <w:rPr>
                <w:rFonts w:cs="Times New Roman" w:eastAsiaTheme="minorEastAsia"/>
              </w:rPr>
              <w:t>（4）大气环境影响预测与评价</w:t>
            </w:r>
          </w:p>
          <w:p>
            <w:pPr>
              <w:adjustRightInd w:val="0"/>
              <w:snapToGrid w:val="0"/>
              <w:spacing w:line="360" w:lineRule="auto"/>
              <w:ind w:firstLine="480" w:firstLineChars="200"/>
              <w:textAlignment w:val="baseline"/>
              <w:rPr>
                <w:rFonts w:cs="Times New Roman"/>
                <w:szCs w:val="24"/>
              </w:rPr>
            </w:pPr>
            <w:r>
              <w:rPr>
                <w:rFonts w:cs="Times New Roman"/>
                <w:szCs w:val="24"/>
              </w:rPr>
              <w:t>根据估算模式预测结果，本项目大气环境影响评价工作等级为二级，结合导则中“8.1.3二级评价项目不进行进一步预测与评价，只对污染物排放量进行核算”，因此项目本次评价不再采用进一步预测模型开展大气环境影响预测与评价。</w:t>
            </w:r>
          </w:p>
          <w:p>
            <w:pPr>
              <w:adjustRightInd w:val="0"/>
              <w:snapToGrid w:val="0"/>
              <w:spacing w:line="360" w:lineRule="auto"/>
              <w:ind w:firstLine="480" w:firstLineChars="200"/>
              <w:textAlignment w:val="baseline"/>
              <w:rPr>
                <w:rFonts w:cs="Times New Roman"/>
                <w:szCs w:val="24"/>
              </w:rPr>
            </w:pPr>
            <w:r>
              <w:rPr>
                <w:rFonts w:cs="Times New Roman"/>
                <w:szCs w:val="24"/>
              </w:rPr>
              <w:t>根据表7.2-12到7.2-13预测结果分析可知，项目厂区面源的外排污染物最大占标率低于10%，污染物的最大落地浓度均达到《环境空气质量标准》（GB3095-2012）二级标准限值。因此，项目营运期间产生的大气污染物对周围环境影响不大。</w:t>
            </w:r>
          </w:p>
          <w:p>
            <w:pPr>
              <w:pStyle w:val="8"/>
            </w:pPr>
            <w:r>
              <w:t>污染物排放达标分析</w:t>
            </w:r>
          </w:p>
          <w:p>
            <w:pPr>
              <w:spacing w:line="360" w:lineRule="auto"/>
              <w:ind w:firstLine="480" w:firstLineChars="200"/>
              <w:rPr>
                <w:rFonts w:hint="default" w:ascii="Times New Roman" w:hAnsi="Times New Roman" w:cs="Times New Roman"/>
                <w:color w:val="0070C0"/>
              </w:rPr>
            </w:pPr>
            <w:r>
              <w:rPr>
                <w:rFonts w:hint="default" w:ascii="Times New Roman" w:hAnsi="Times New Roman" w:cs="Times New Roman"/>
                <w:color w:val="0070C0"/>
              </w:rPr>
              <w:t>（1）有组织粉尘达标分析</w:t>
            </w:r>
          </w:p>
          <w:p>
            <w:pPr>
              <w:pStyle w:val="82"/>
              <w:spacing w:line="360" w:lineRule="auto"/>
              <w:ind w:firstLine="480" w:firstLineChars="200"/>
              <w:jc w:val="both"/>
              <w:rPr>
                <w:rFonts w:hint="default" w:ascii="Times New Roman" w:hAnsi="Times New Roman" w:cs="Times New Roman"/>
                <w:color w:val="0070C0"/>
                <w:kern w:val="2"/>
              </w:rPr>
            </w:pPr>
            <w:r>
              <w:rPr>
                <w:rFonts w:hint="default" w:ascii="Times New Roman" w:hAnsi="Times New Roman" w:cs="Times New Roman"/>
                <w:color w:val="0070C0"/>
                <w:kern w:val="2"/>
                <w:szCs w:val="22"/>
              </w:rPr>
              <w:t>本生产线每个筒仓仓顶罐顶呼吸孔及每个搅拌主楼楼顶均设置一个脉冲除尘器，粉尘经除尘器处理后通过30m排气筒排放。搅拌粉尘</w:t>
            </w:r>
            <w:r>
              <w:rPr>
                <w:rFonts w:hint="default" w:ascii="Times New Roman" w:hAnsi="Times New Roman" w:cs="Times New Roman"/>
                <w:color w:val="0070C0"/>
                <w:kern w:val="2"/>
              </w:rPr>
              <w:t>排气筒有组织粉尘排放速率、排放浓度依次为0.02kg/h，</w:t>
            </w:r>
            <w:r>
              <w:rPr>
                <w:rFonts w:hint="default" w:ascii="Times New Roman" w:hAnsi="Times New Roman" w:cs="Times New Roman"/>
                <w:color w:val="0070C0"/>
                <w:kern w:val="2"/>
                <w:lang w:val="en-US" w:eastAsia="zh-CN"/>
              </w:rPr>
              <w:t>1</w:t>
            </w:r>
            <w:r>
              <w:rPr>
                <w:rFonts w:hint="default" w:ascii="Times New Roman" w:hAnsi="Times New Roman" w:cs="Times New Roman"/>
                <w:color w:val="0070C0"/>
                <w:kern w:val="2"/>
              </w:rPr>
              <w:t>mg/m</w:t>
            </w:r>
            <w:r>
              <w:rPr>
                <w:rFonts w:hint="default" w:ascii="Times New Roman" w:hAnsi="Times New Roman" w:cs="Times New Roman"/>
                <w:color w:val="0070C0"/>
                <w:kern w:val="2"/>
                <w:vertAlign w:val="superscript"/>
              </w:rPr>
              <w:t>3</w:t>
            </w:r>
            <w:r>
              <w:rPr>
                <w:rFonts w:hint="default" w:ascii="Times New Roman" w:hAnsi="Times New Roman" w:cs="Times New Roman"/>
                <w:color w:val="0070C0"/>
                <w:kern w:val="2"/>
              </w:rPr>
              <w:t>，均满足《水泥工业大气污染物排放标准》（GB4915-2013）表2中规定的排放限值。</w:t>
            </w:r>
          </w:p>
          <w:p>
            <w:pPr>
              <w:pStyle w:val="82"/>
              <w:spacing w:line="360" w:lineRule="auto"/>
              <w:ind w:firstLine="480" w:firstLineChars="200"/>
              <w:jc w:val="both"/>
              <w:rPr>
                <w:rFonts w:hint="default" w:ascii="Times New Roman" w:hAnsi="Times New Roman" w:cs="Times New Roman"/>
                <w:color w:val="0070C0"/>
                <w:kern w:val="2"/>
              </w:rPr>
            </w:pPr>
            <w:r>
              <w:rPr>
                <w:rFonts w:hint="default" w:ascii="Times New Roman" w:hAnsi="Times New Roman" w:cs="Times New Roman"/>
                <w:color w:val="0070C0"/>
                <w:kern w:val="2"/>
              </w:rPr>
              <w:t>本项目所有生产线均为全密闭，大大的减少了起尘量，所有污染物经过处理后均能达到排放标准，因此本项目有组织废气排放对周边环境影响较小。</w:t>
            </w:r>
          </w:p>
          <w:p>
            <w:pPr>
              <w:pStyle w:val="82"/>
              <w:spacing w:line="360" w:lineRule="auto"/>
              <w:ind w:firstLine="480" w:firstLineChars="200"/>
              <w:jc w:val="both"/>
              <w:rPr>
                <w:rFonts w:ascii="Times New Roman" w:hAnsi="Times New Roman" w:cs="Times New Roman"/>
                <w:color w:val="000000" w:themeColor="text1"/>
                <w:kern w:val="2"/>
                <w:szCs w:val="22"/>
              </w:rPr>
            </w:pPr>
            <w:r>
              <w:rPr>
                <w:rFonts w:ascii="Times New Roman" w:hAnsi="Times New Roman" w:cs="Times New Roman"/>
                <w:color w:val="000000" w:themeColor="text1"/>
                <w:kern w:val="2"/>
                <w:szCs w:val="22"/>
              </w:rPr>
              <w:t>（2）无组织废气排放分析</w:t>
            </w:r>
          </w:p>
          <w:p>
            <w:pPr>
              <w:spacing w:line="360" w:lineRule="auto"/>
              <w:ind w:firstLine="480" w:firstLineChars="200"/>
              <w:rPr>
                <w:rFonts w:cs="Times New Roman"/>
                <w:color w:val="000000" w:themeColor="text1"/>
              </w:rPr>
            </w:pPr>
            <w:r>
              <w:rPr>
                <w:rFonts w:cs="Times New Roman"/>
                <w:color w:val="000000" w:themeColor="text1"/>
              </w:rPr>
              <w:t>本项目无组织废气主要为卸料粉尘及堆场扬尘，所有堆场均为封闭式，并设有洒水降尘设施。根据工程分析AERSCREEN 2018估算可知，本项目无组织粉尘经上述措施处理后，无组织粉尘的最大落地浓度为</w:t>
            </w:r>
            <w:r>
              <w:rPr>
                <w:rFonts w:hint="eastAsia" w:eastAsia="宋体" w:cs="Times New Roman"/>
                <w:b w:val="0"/>
                <w:sz w:val="23"/>
                <w:szCs w:val="23"/>
                <w:lang w:val="en-US" w:eastAsia="zh-CN"/>
              </w:rPr>
              <w:t>86.392</w:t>
            </w:r>
            <w:r>
              <w:rPr>
                <w:rFonts w:hint="default" w:ascii="Times New Roman" w:hAnsi="Times New Roman" w:eastAsia="宋体" w:cs="Times New Roman"/>
                <w:b w:val="0"/>
                <w:sz w:val="24"/>
                <w:szCs w:val="24"/>
                <w:lang w:val="en-US" w:eastAsia="zh-CN"/>
              </w:rPr>
              <w:t>μg/m³</w:t>
            </w:r>
            <w:r>
              <w:rPr>
                <w:rFonts w:cs="Times New Roman"/>
                <w:color w:val="000000" w:themeColor="text1"/>
              </w:rPr>
              <w:t>，最大落地距离为</w:t>
            </w:r>
            <w:r>
              <w:rPr>
                <w:rFonts w:hint="eastAsia" w:cs="Times New Roman"/>
                <w:color w:val="000000" w:themeColor="text1"/>
                <w:lang w:val="en-US" w:eastAsia="zh-CN"/>
              </w:rPr>
              <w:t>58</w:t>
            </w:r>
            <w:r>
              <w:rPr>
                <w:rFonts w:cs="Times New Roman"/>
                <w:color w:val="000000" w:themeColor="text1"/>
              </w:rPr>
              <w:t>m，满足《水泥工业大气污染物排放标准》（GB4915-2013）表3中规定的排放限值。因此，本项目无组织废气排放对周围环境影响较小。</w:t>
            </w:r>
          </w:p>
          <w:p>
            <w:pPr>
              <w:pStyle w:val="82"/>
              <w:spacing w:line="360" w:lineRule="auto"/>
              <w:ind w:firstLine="480" w:firstLineChars="200"/>
              <w:jc w:val="both"/>
              <w:rPr>
                <w:rFonts w:ascii="Times New Roman" w:hAnsi="Times New Roman" w:cs="Times New Roman"/>
                <w:color w:val="000000" w:themeColor="text1"/>
                <w:kern w:val="2"/>
                <w:szCs w:val="22"/>
              </w:rPr>
            </w:pPr>
            <w:r>
              <w:rPr>
                <w:rFonts w:ascii="Times New Roman" w:hAnsi="Times New Roman" w:cs="Times New Roman"/>
                <w:color w:val="000000" w:themeColor="text1"/>
                <w:kern w:val="2"/>
                <w:szCs w:val="22"/>
              </w:rPr>
              <w:t>（3）食堂油烟排放分析</w:t>
            </w:r>
          </w:p>
          <w:p>
            <w:pPr>
              <w:spacing w:line="360" w:lineRule="auto"/>
              <w:ind w:firstLine="480" w:firstLineChars="200"/>
              <w:rPr>
                <w:rFonts w:cs="Times New Roman"/>
                <w:szCs w:val="24"/>
              </w:rPr>
            </w:pPr>
            <w:r>
              <w:rPr>
                <w:rFonts w:cs="Times New Roman"/>
                <w:szCs w:val="24"/>
              </w:rPr>
              <w:t>本项目油烟经油烟净化器处理后通过15m高的排气筒排放，排放量为0.0</w:t>
            </w:r>
            <w:r>
              <w:rPr>
                <w:rFonts w:hint="eastAsia" w:cs="Times New Roman"/>
                <w:szCs w:val="24"/>
              </w:rPr>
              <w:t>12</w:t>
            </w:r>
            <w:r>
              <w:rPr>
                <w:rFonts w:cs="Times New Roman"/>
                <w:szCs w:val="24"/>
              </w:rPr>
              <w:t>t/a，排放浓度为</w:t>
            </w:r>
            <w:r>
              <w:rPr>
                <w:rFonts w:hint="eastAsia" w:cs="Times New Roman"/>
                <w:szCs w:val="24"/>
              </w:rPr>
              <w:t>3</w:t>
            </w:r>
            <w:r>
              <w:rPr>
                <w:rFonts w:cs="Times New Roman"/>
                <w:szCs w:val="24"/>
              </w:rPr>
              <w:t>mg/m³，满足《饮食业油烟排放标准（试行）》（GB 18483-2001）表2中规定的排放限值。因此本项目油烟排放对周围环境影响较小。</w:t>
            </w:r>
          </w:p>
          <w:p>
            <w:pPr>
              <w:pStyle w:val="82"/>
              <w:spacing w:line="360" w:lineRule="auto"/>
              <w:ind w:firstLine="480" w:firstLineChars="200"/>
              <w:jc w:val="both"/>
              <w:rPr>
                <w:rFonts w:ascii="Times New Roman" w:hAnsi="Times New Roman" w:cs="Times New Roman"/>
                <w:color w:val="000000" w:themeColor="text1"/>
                <w:kern w:val="2"/>
                <w:szCs w:val="22"/>
              </w:rPr>
            </w:pPr>
            <w:r>
              <w:rPr>
                <w:rFonts w:ascii="Times New Roman" w:hAnsi="Times New Roman" w:cs="Times New Roman"/>
                <w:color w:val="000000" w:themeColor="text1"/>
                <w:kern w:val="2"/>
                <w:szCs w:val="22"/>
              </w:rPr>
              <w:t>（4）对周边敏感点的影响分析</w:t>
            </w:r>
          </w:p>
          <w:p>
            <w:pPr>
              <w:pStyle w:val="148"/>
              <w:spacing w:line="360" w:lineRule="auto"/>
              <w:ind w:firstLine="480"/>
              <w:rPr>
                <w:rFonts w:eastAsiaTheme="minorEastAsia"/>
                <w:color w:val="000000" w:themeColor="text1"/>
                <w:sz w:val="24"/>
                <w:szCs w:val="24"/>
              </w:rPr>
            </w:pPr>
            <w:r>
              <w:rPr>
                <w:rFonts w:eastAsiaTheme="minorEastAsia"/>
                <w:color w:val="000000" w:themeColor="text1"/>
                <w:sz w:val="24"/>
                <w:szCs w:val="24"/>
              </w:rPr>
              <w:t>经预测可知，本项目的最大</w:t>
            </w:r>
            <w:r>
              <w:rPr>
                <w:rFonts w:hint="eastAsia" w:eastAsiaTheme="minorEastAsia"/>
                <w:color w:val="000000" w:themeColor="text1"/>
                <w:sz w:val="24"/>
                <w:szCs w:val="24"/>
              </w:rPr>
              <w:t>落地</w:t>
            </w:r>
            <w:r>
              <w:rPr>
                <w:rFonts w:eastAsiaTheme="minorEastAsia"/>
                <w:color w:val="000000" w:themeColor="text1"/>
                <w:sz w:val="24"/>
                <w:szCs w:val="24"/>
              </w:rPr>
              <w:t>浓度较小，最高为</w:t>
            </w:r>
            <w:r>
              <w:rPr>
                <w:rFonts w:cs="Times New Roman"/>
                <w:sz w:val="24"/>
                <w:szCs w:val="24"/>
              </w:rPr>
              <w:t>29.259μg/m³</w:t>
            </w:r>
            <w:r>
              <w:rPr>
                <w:rFonts w:eastAsiaTheme="minorEastAsia"/>
                <w:color w:val="000000" w:themeColor="text1"/>
                <w:sz w:val="24"/>
                <w:szCs w:val="24"/>
              </w:rPr>
              <w:t>，符合《水泥工业大气污染物排放标准》（GB4915-2013）表3中规定的排放限值</w:t>
            </w:r>
            <w:r>
              <w:rPr>
                <w:rFonts w:hint="eastAsia" w:eastAsiaTheme="minorEastAsia"/>
                <w:color w:val="000000" w:themeColor="text1"/>
                <w:sz w:val="24"/>
                <w:szCs w:val="24"/>
              </w:rPr>
              <w:t>，即本项目环境敏感点能达标。</w:t>
            </w:r>
            <w:r>
              <w:rPr>
                <w:rFonts w:eastAsiaTheme="minorEastAsia"/>
                <w:color w:val="000000" w:themeColor="text1"/>
                <w:sz w:val="24"/>
                <w:szCs w:val="24"/>
              </w:rPr>
              <w:t>本环评要求：应加强布设厂区内的喷淋洒水设施以及绿化带（特别是靠近居民区一侧），以减轻项目粉尘的影响。做好上述措施后本项目粉尘对敏感点的影响较小。</w:t>
            </w:r>
          </w:p>
          <w:p>
            <w:pPr>
              <w:pStyle w:val="8"/>
            </w:pPr>
            <w:r>
              <w:t>污染物排放核算</w:t>
            </w:r>
          </w:p>
          <w:p>
            <w:pPr>
              <w:spacing w:line="360" w:lineRule="auto"/>
              <w:ind w:firstLine="480" w:firstLineChars="200"/>
              <w:rPr>
                <w:rFonts w:cs="Times New Roman"/>
              </w:rPr>
            </w:pPr>
            <w:r>
              <w:rPr>
                <w:rFonts w:cs="Times New Roman"/>
              </w:rPr>
              <w:t>根据《环境影响评价技术导则 大气环境》（HJ2.2-2018），本项目属于二级评价，需对废气排放量进行核算，核算情况如下。</w:t>
            </w:r>
          </w:p>
          <w:p>
            <w:pPr>
              <w:pStyle w:val="105"/>
              <w:spacing w:line="360" w:lineRule="auto"/>
              <w:ind w:firstLine="480"/>
              <w:rPr>
                <w:rFonts w:cs="Times New Roman"/>
                <w:b/>
              </w:rPr>
            </w:pPr>
            <w:r>
              <w:rPr>
                <w:rFonts w:hint="eastAsia" w:ascii="宋体" w:hAnsi="宋体" w:eastAsia="宋体" w:cs="宋体"/>
              </w:rPr>
              <w:t>①</w:t>
            </w:r>
            <w:r>
              <w:rPr>
                <w:rFonts w:cs="Times New Roman"/>
              </w:rPr>
              <w:t>有组织排放量核算表</w:t>
            </w:r>
          </w:p>
          <w:p>
            <w:pPr>
              <w:pStyle w:val="15"/>
              <w:spacing w:line="240" w:lineRule="auto"/>
              <w:rPr>
                <w:rFonts w:cs="Times New Roman" w:eastAsiaTheme="minorEastAsia"/>
                <w:color w:val="000000" w:themeColor="text1"/>
                <w:sz w:val="21"/>
                <w:szCs w:val="21"/>
              </w:rPr>
            </w:pPr>
          </w:p>
          <w:p>
            <w:pPr>
              <w:pStyle w:val="15"/>
              <w:spacing w:line="240" w:lineRule="auto"/>
              <w:rPr>
                <w:rFonts w:cs="Times New Roman" w:eastAsiaTheme="minorEastAsia"/>
                <w:color w:val="000000" w:themeColor="text1"/>
                <w:sz w:val="21"/>
                <w:szCs w:val="21"/>
              </w:rPr>
            </w:pPr>
          </w:p>
          <w:p>
            <w:pPr>
              <w:pStyle w:val="15"/>
              <w:spacing w:line="240" w:lineRule="auto"/>
              <w:rPr>
                <w:rFonts w:cs="Times New Roman" w:eastAsiaTheme="minorEastAsia"/>
                <w:color w:val="000000" w:themeColor="text1"/>
                <w:sz w:val="21"/>
                <w:szCs w:val="21"/>
              </w:rPr>
            </w:pPr>
          </w:p>
          <w:p>
            <w:pPr>
              <w:pStyle w:val="15"/>
              <w:spacing w:line="240" w:lineRule="auto"/>
              <w:rPr>
                <w:rFonts w:cs="Times New Roman" w:eastAsiaTheme="minorEastAsia"/>
                <w:color w:val="000000" w:themeColor="text1"/>
                <w:sz w:val="21"/>
                <w:szCs w:val="21"/>
              </w:rPr>
            </w:pPr>
          </w:p>
          <w:p>
            <w:pPr>
              <w:pStyle w:val="15"/>
              <w:spacing w:line="240" w:lineRule="auto"/>
              <w:rPr>
                <w:rFonts w:cs="Times New Roman" w:eastAsiaTheme="minorEastAsia"/>
                <w:color w:val="000000" w:themeColor="text1"/>
                <w:sz w:val="21"/>
                <w:szCs w:val="21"/>
              </w:rPr>
            </w:pPr>
          </w:p>
          <w:p>
            <w:pPr>
              <w:pStyle w:val="15"/>
              <w:spacing w:line="240" w:lineRule="auto"/>
              <w:rPr>
                <w:rFonts w:cs="Times New Roman" w:eastAsiaTheme="minorEastAsia"/>
                <w:color w:val="000000" w:themeColor="text1"/>
                <w:sz w:val="21"/>
                <w:szCs w:val="21"/>
              </w:rPr>
            </w:pPr>
            <w:r>
              <w:rPr>
                <w:rFonts w:cs="Times New Roman" w:eastAsiaTheme="minorEastAsia"/>
                <w:color w:val="000000" w:themeColor="text1"/>
                <w:sz w:val="21"/>
                <w:szCs w:val="21"/>
              </w:rPr>
              <w:t>表7.2</w:t>
            </w:r>
            <w:r>
              <w:rPr>
                <w:rFonts w:cs="Times New Roman" w:eastAsiaTheme="minorEastAsia"/>
                <w:color w:val="000000" w:themeColor="text1"/>
                <w:sz w:val="21"/>
                <w:szCs w:val="21"/>
              </w:rPr>
              <w:noBreakHyphen/>
            </w:r>
            <w:r>
              <w:rPr>
                <w:rFonts w:cs="Times New Roman" w:eastAsiaTheme="minorEastAsia"/>
                <w:color w:val="000000" w:themeColor="text1"/>
                <w:sz w:val="21"/>
                <w:szCs w:val="21"/>
              </w:rPr>
              <w:t>1</w:t>
            </w:r>
            <w:r>
              <w:rPr>
                <w:rFonts w:hint="eastAsia" w:cs="Times New Roman" w:eastAsiaTheme="minorEastAsia"/>
                <w:color w:val="000000" w:themeColor="text1"/>
                <w:sz w:val="21"/>
                <w:szCs w:val="21"/>
              </w:rPr>
              <w:t xml:space="preserve">7  </w:t>
            </w:r>
            <w:r>
              <w:rPr>
                <w:rFonts w:cs="Times New Roman" w:eastAsiaTheme="minorEastAsia"/>
                <w:color w:val="000000" w:themeColor="text1"/>
                <w:sz w:val="21"/>
                <w:szCs w:val="21"/>
              </w:rPr>
              <w:t>大气污染物有组织排放量核算表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598"/>
              <w:gridCol w:w="1738"/>
              <w:gridCol w:w="985"/>
              <w:gridCol w:w="1830"/>
              <w:gridCol w:w="1597"/>
              <w:gridCol w:w="155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42" w:hRule="atLeast"/>
                <w:jc w:val="center"/>
              </w:trPr>
              <w:tc>
                <w:tcPr>
                  <w:tcW w:w="360" w:type="pct"/>
                  <w:shd w:val="clear" w:color="auto" w:fill="FFFFFF"/>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序号</w:t>
                  </w:r>
                </w:p>
              </w:tc>
              <w:tc>
                <w:tcPr>
                  <w:tcW w:w="1046" w:type="pct"/>
                  <w:shd w:val="clear" w:color="auto" w:fill="FFFFFF"/>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排放口编号</w:t>
                  </w:r>
                </w:p>
              </w:tc>
              <w:tc>
                <w:tcPr>
                  <w:tcW w:w="593" w:type="pct"/>
                  <w:shd w:val="clear" w:color="auto" w:fill="FFFFFF"/>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污染物</w:t>
                  </w:r>
                </w:p>
              </w:tc>
              <w:tc>
                <w:tcPr>
                  <w:tcW w:w="1102" w:type="pct"/>
                  <w:shd w:val="clear" w:color="auto" w:fill="FFFFFF"/>
                  <w:vAlign w:val="center"/>
                </w:tcPr>
                <w:p>
                  <w:pPr>
                    <w:pStyle w:val="78"/>
                    <w:spacing w:before="24" w:after="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核算排放浓度</w:t>
                  </w:r>
                </w:p>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（mg/m</w:t>
                  </w:r>
                  <w:r>
                    <w:rPr>
                      <w:rFonts w:ascii="Times New Roman" w:hAnsi="Times New Roman" w:cs="Times New Roman" w:eastAsiaTheme="minorEastAsia"/>
                      <w:color w:val="000000" w:themeColor="text1"/>
                      <w:szCs w:val="21"/>
                      <w:vertAlign w:val="superscript"/>
                    </w:rPr>
                    <w:t>3</w:t>
                  </w:r>
                  <w:r>
                    <w:rPr>
                      <w:rFonts w:ascii="Times New Roman" w:hAnsi="Times New Roman" w:cs="Times New Roman" w:eastAsiaTheme="minorEastAsia"/>
                      <w:color w:val="000000" w:themeColor="text1"/>
                      <w:szCs w:val="21"/>
                    </w:rPr>
                    <w:t>）</w:t>
                  </w:r>
                </w:p>
              </w:tc>
              <w:tc>
                <w:tcPr>
                  <w:tcW w:w="961" w:type="pct"/>
                  <w:shd w:val="clear" w:color="auto" w:fill="FFFFFF"/>
                  <w:vAlign w:val="center"/>
                </w:tcPr>
                <w:p>
                  <w:pPr>
                    <w:pStyle w:val="78"/>
                    <w:spacing w:before="24" w:after="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核算排放速率</w:t>
                  </w:r>
                </w:p>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（kg/h）</w:t>
                  </w:r>
                </w:p>
              </w:tc>
              <w:tc>
                <w:tcPr>
                  <w:tcW w:w="935" w:type="pct"/>
                  <w:shd w:val="clear" w:color="auto" w:fill="FFFFFF"/>
                  <w:vAlign w:val="center"/>
                </w:tcPr>
                <w:p>
                  <w:pPr>
                    <w:pStyle w:val="78"/>
                    <w:spacing w:before="24" w:after="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核算年排放量</w:t>
                  </w:r>
                </w:p>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（t/a）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5000" w:type="pct"/>
                  <w:gridSpan w:val="6"/>
                  <w:shd w:val="clear" w:color="auto" w:fill="FFFFFF"/>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主要排放口</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0" w:type="pct"/>
                  <w:tcBorders>
                    <w:top w:val="single" w:color="auto" w:sz="4" w:space="0"/>
                    <w:bottom w:val="single" w:color="auto" w:sz="4" w:space="0"/>
                  </w:tcBorders>
                  <w:shd w:val="clear" w:color="auto" w:fill="FFFFFF"/>
                  <w:vAlign w:val="center"/>
                </w:tcPr>
                <w:p>
                  <w:pPr>
                    <w:pStyle w:val="78"/>
                    <w:spacing w:before="24" w:after="24"/>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1</w:t>
                  </w:r>
                </w:p>
              </w:tc>
              <w:tc>
                <w:tcPr>
                  <w:tcW w:w="1046" w:type="pct"/>
                  <w:tcBorders>
                    <w:top w:val="single" w:color="auto" w:sz="4" w:space="0"/>
                    <w:bottom w:val="single" w:color="auto" w:sz="4" w:space="0"/>
                  </w:tcBorders>
                  <w:shd w:val="clear" w:color="auto" w:fill="FFFFFF"/>
                  <w:vAlign w:val="center"/>
                </w:tcPr>
                <w:p>
                  <w:pPr>
                    <w:pStyle w:val="78"/>
                    <w:spacing w:before="24" w:after="24"/>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DA001</w:t>
                  </w:r>
                </w:p>
              </w:tc>
              <w:tc>
                <w:tcPr>
                  <w:tcW w:w="593" w:type="pct"/>
                  <w:tcBorders>
                    <w:top w:val="single" w:color="auto" w:sz="4" w:space="0"/>
                    <w:bottom w:val="single" w:color="auto" w:sz="4" w:space="0"/>
                  </w:tcBorders>
                  <w:shd w:val="clear" w:color="auto" w:fill="FFFFFF"/>
                  <w:vAlign w:val="center"/>
                </w:tcPr>
                <w:p>
                  <w:pPr>
                    <w:jc w:val="center"/>
                    <w:rPr>
                      <w:rFonts w:cs="Times New Roman"/>
                      <w:color w:val="000000" w:themeColor="text1"/>
                      <w:sz w:val="21"/>
                    </w:rPr>
                  </w:pPr>
                  <w:r>
                    <w:rPr>
                      <w:rFonts w:cs="Times New Roman"/>
                      <w:color w:val="000000" w:themeColor="text1"/>
                      <w:sz w:val="21"/>
                    </w:rPr>
                    <w:t>颗粒物</w:t>
                  </w:r>
                </w:p>
              </w:tc>
              <w:tc>
                <w:tcPr>
                  <w:tcW w:w="1102" w:type="pct"/>
                  <w:shd w:val="clear" w:color="auto" w:fill="FFFFFF"/>
                  <w:vAlign w:val="center"/>
                </w:tcPr>
                <w:p>
                  <w:pPr>
                    <w:adjustRightInd w:val="0"/>
                    <w:snapToGrid w:val="0"/>
                    <w:ind w:firstLine="210" w:firstLineChars="100"/>
                    <w:jc w:val="center"/>
                    <w:rPr>
                      <w:rFonts w:cs="Times New Roman"/>
                      <w:color w:val="000000" w:themeColor="text1"/>
                      <w:sz w:val="21"/>
                    </w:rPr>
                  </w:pPr>
                  <w:r>
                    <w:rPr>
                      <w:rFonts w:hint="eastAsia" w:cs="Times New Roman"/>
                      <w:color w:val="000000" w:themeColor="text1"/>
                      <w:sz w:val="21"/>
                      <w:lang w:val="en-US" w:eastAsia="zh-CN"/>
                    </w:rPr>
                    <w:t>1</w:t>
                  </w:r>
                  <w:r>
                    <w:rPr>
                      <w:rFonts w:cs="Times New Roman"/>
                      <w:color w:val="000000" w:themeColor="text1"/>
                      <w:sz w:val="21"/>
                    </w:rPr>
                    <w:t>mg/m</w:t>
                  </w:r>
                  <w:r>
                    <w:rPr>
                      <w:rFonts w:cs="Times New Roman"/>
                      <w:color w:val="000000" w:themeColor="text1"/>
                      <w:sz w:val="21"/>
                      <w:vertAlign w:val="superscript"/>
                    </w:rPr>
                    <w:t>3</w:t>
                  </w:r>
                </w:p>
              </w:tc>
              <w:tc>
                <w:tcPr>
                  <w:tcW w:w="961" w:type="pct"/>
                  <w:shd w:val="clear" w:color="auto" w:fill="FFFFFF"/>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t>0.02</w:t>
                  </w:r>
                  <w:r>
                    <w:rPr>
                      <w:rFonts w:ascii="Times New Roman" w:hAnsi="Times New Roman" w:cs="Times New Roman" w:eastAsiaTheme="minorEastAsia"/>
                      <w:color w:val="000000" w:themeColor="text1"/>
                      <w:szCs w:val="21"/>
                    </w:rPr>
                    <w:t>kg/h</w:t>
                  </w:r>
                </w:p>
              </w:tc>
              <w:tc>
                <w:tcPr>
                  <w:tcW w:w="935" w:type="pct"/>
                  <w:shd w:val="clear" w:color="auto" w:fill="FFFFFF"/>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0.</w:t>
                  </w:r>
                  <w:r>
                    <w:rPr>
                      <w:rFonts w:hint="eastAsia" w:ascii="Times New Roman" w:hAnsi="Times New Roman" w:cs="Times New Roman" w:eastAsiaTheme="minorEastAsia"/>
                      <w:color w:val="000000" w:themeColor="text1"/>
                      <w:szCs w:val="21"/>
                      <w:lang w:val="en-US" w:eastAsia="zh-CN"/>
                    </w:rPr>
                    <w:t>04</w:t>
                  </w:r>
                  <w:r>
                    <w:rPr>
                      <w:rFonts w:ascii="Times New Roman" w:hAnsi="Times New Roman" w:cs="Times New Roman" w:eastAsiaTheme="minorEastAsia"/>
                      <w:color w:val="000000" w:themeColor="text1"/>
                      <w:szCs w:val="21"/>
                    </w:rPr>
                    <w:t>t/a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5000" w:type="pct"/>
                  <w:gridSpan w:val="6"/>
                  <w:tcBorders>
                    <w:top w:val="single" w:color="auto" w:sz="4" w:space="0"/>
                  </w:tcBorders>
                  <w:shd w:val="clear" w:color="auto" w:fill="FFFFFF"/>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360" w:type="pct"/>
                  <w:shd w:val="clear" w:color="auto" w:fill="FFFFFF"/>
                  <w:vAlign w:val="center"/>
                </w:tcPr>
                <w:p>
                  <w:pPr>
                    <w:pStyle w:val="78"/>
                    <w:spacing w:before="24" w:after="24"/>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2</w:t>
                  </w:r>
                </w:p>
              </w:tc>
              <w:tc>
                <w:tcPr>
                  <w:tcW w:w="1046" w:type="pct"/>
                  <w:shd w:val="clear" w:color="auto" w:fill="FFFFFF"/>
                  <w:vAlign w:val="center"/>
                </w:tcPr>
                <w:p>
                  <w:pPr>
                    <w:pStyle w:val="78"/>
                    <w:spacing w:before="24" w:after="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食堂油烟</w:t>
                  </w:r>
                </w:p>
              </w:tc>
              <w:tc>
                <w:tcPr>
                  <w:tcW w:w="593" w:type="pct"/>
                  <w:shd w:val="clear" w:color="auto" w:fill="FFFFFF"/>
                  <w:vAlign w:val="center"/>
                </w:tcPr>
                <w:p>
                  <w:pPr>
                    <w:jc w:val="center"/>
                    <w:rPr>
                      <w:rFonts w:cs="Times New Roman"/>
                      <w:color w:val="000000" w:themeColor="text1"/>
                      <w:sz w:val="21"/>
                    </w:rPr>
                  </w:pPr>
                  <w:r>
                    <w:rPr>
                      <w:rFonts w:cs="Times New Roman"/>
                      <w:color w:val="000000" w:themeColor="text1"/>
                      <w:sz w:val="21"/>
                    </w:rPr>
                    <w:t>油烟</w:t>
                  </w:r>
                </w:p>
              </w:tc>
              <w:tc>
                <w:tcPr>
                  <w:tcW w:w="1102" w:type="pct"/>
                  <w:shd w:val="clear" w:color="auto" w:fill="FFFFFF"/>
                  <w:vAlign w:val="center"/>
                </w:tcPr>
                <w:p>
                  <w:pPr>
                    <w:adjustRightInd w:val="0"/>
                    <w:snapToGrid w:val="0"/>
                    <w:ind w:firstLine="210" w:firstLineChars="100"/>
                    <w:jc w:val="center"/>
                    <w:rPr>
                      <w:rFonts w:cs="Times New Roman"/>
                      <w:color w:val="000000" w:themeColor="text1"/>
                      <w:sz w:val="21"/>
                    </w:rPr>
                  </w:pPr>
                  <w:r>
                    <w:rPr>
                      <w:rFonts w:hint="eastAsia" w:cs="Times New Roman"/>
                      <w:color w:val="000000" w:themeColor="text1"/>
                      <w:sz w:val="21"/>
                    </w:rPr>
                    <w:t>3</w:t>
                  </w:r>
                  <w:r>
                    <w:rPr>
                      <w:rFonts w:cs="Times New Roman"/>
                      <w:color w:val="000000" w:themeColor="text1"/>
                      <w:sz w:val="21"/>
                    </w:rPr>
                    <w:t>mg/m</w:t>
                  </w:r>
                  <w:r>
                    <w:rPr>
                      <w:rFonts w:cs="Times New Roman"/>
                      <w:color w:val="000000" w:themeColor="text1"/>
                      <w:sz w:val="21"/>
                      <w:vertAlign w:val="superscript"/>
                    </w:rPr>
                    <w:t>3</w:t>
                  </w:r>
                </w:p>
              </w:tc>
              <w:tc>
                <w:tcPr>
                  <w:tcW w:w="961" w:type="pct"/>
                  <w:shd w:val="clear" w:color="auto" w:fill="FFFFFF"/>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rPr>
                    <w:t>0.</w:t>
                  </w:r>
                  <w:r>
                    <w:rPr>
                      <w:rFonts w:hint="eastAsia" w:ascii="Times New Roman" w:hAnsi="Times New Roman" w:cs="Times New Roman" w:eastAsiaTheme="minorEastAsia"/>
                      <w:color w:val="000000" w:themeColor="text1"/>
                    </w:rPr>
                    <w:t>012</w:t>
                  </w:r>
                  <w:r>
                    <w:rPr>
                      <w:rFonts w:ascii="Times New Roman" w:hAnsi="Times New Roman" w:cs="Times New Roman" w:eastAsiaTheme="minorEastAsia"/>
                      <w:color w:val="000000" w:themeColor="text1"/>
                    </w:rPr>
                    <w:t>kg/h</w:t>
                  </w:r>
                </w:p>
              </w:tc>
              <w:tc>
                <w:tcPr>
                  <w:tcW w:w="935" w:type="pct"/>
                  <w:shd w:val="clear" w:color="auto" w:fill="FFFFFF"/>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rPr>
                    <w:t>0.</w:t>
                  </w:r>
                  <w:r>
                    <w:rPr>
                      <w:rFonts w:hint="eastAsia" w:ascii="Times New Roman" w:hAnsi="Times New Roman" w:cs="Times New Roman" w:eastAsiaTheme="minorEastAsia"/>
                      <w:color w:val="000000" w:themeColor="text1"/>
                    </w:rPr>
                    <w:t>004</w:t>
                  </w:r>
                  <w:r>
                    <w:rPr>
                      <w:rFonts w:ascii="Times New Roman" w:hAnsi="Times New Roman" w:cs="Times New Roman" w:eastAsiaTheme="minorEastAsia"/>
                      <w:color w:val="000000" w:themeColor="text1"/>
                    </w:rPr>
                    <w:t>t/a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1407" w:type="pct"/>
                  <w:gridSpan w:val="2"/>
                  <w:vMerge w:val="restart"/>
                  <w:shd w:val="clear" w:color="auto" w:fill="FFFFFF"/>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主要排放口合计</w:t>
                  </w:r>
                </w:p>
              </w:tc>
              <w:tc>
                <w:tcPr>
                  <w:tcW w:w="2657" w:type="pct"/>
                  <w:gridSpan w:val="3"/>
                  <w:shd w:val="clear" w:color="auto" w:fill="FFFFFF"/>
                  <w:vAlign w:val="center"/>
                </w:tcPr>
                <w:p>
                  <w:pPr>
                    <w:jc w:val="center"/>
                    <w:rPr>
                      <w:rFonts w:cs="Times New Roman"/>
                      <w:color w:val="000000" w:themeColor="text1"/>
                      <w:sz w:val="21"/>
                    </w:rPr>
                  </w:pPr>
                  <w:r>
                    <w:rPr>
                      <w:rFonts w:cs="Times New Roman"/>
                      <w:color w:val="000000" w:themeColor="text1"/>
                      <w:sz w:val="21"/>
                    </w:rPr>
                    <w:t>颗粒物</w:t>
                  </w:r>
                </w:p>
              </w:tc>
              <w:tc>
                <w:tcPr>
                  <w:tcW w:w="935" w:type="pct"/>
                  <w:shd w:val="clear" w:color="auto" w:fill="FFFFFF"/>
                  <w:vAlign w:val="center"/>
                </w:tcPr>
                <w:p>
                  <w:pPr>
                    <w:pStyle w:val="78"/>
                    <w:spacing w:before="24"/>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lang w:val="en-US" w:eastAsia="zh-CN"/>
                    </w:rPr>
                    <w:t>0.04</w:t>
                  </w:r>
                  <w:r>
                    <w:rPr>
                      <w:rFonts w:ascii="Times New Roman" w:hAnsi="Times New Roman" w:cs="Times New Roman" w:eastAsiaTheme="minorEastAsia"/>
                      <w:color w:val="000000" w:themeColor="text1"/>
                    </w:rPr>
                    <w:t>t/a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1407" w:type="pct"/>
                  <w:gridSpan w:val="2"/>
                  <w:vMerge w:val="continue"/>
                  <w:shd w:val="clear" w:color="auto" w:fill="FFFFFF"/>
                  <w:vAlign w:val="center"/>
                </w:tcPr>
                <w:p>
                  <w:pPr>
                    <w:pStyle w:val="78"/>
                    <w:spacing w:before="24" w:after="24"/>
                    <w:rPr>
                      <w:rFonts w:ascii="Times New Roman" w:hAnsi="Times New Roman" w:cs="Times New Roman" w:eastAsiaTheme="minorEastAsia"/>
                      <w:color w:val="000000" w:themeColor="text1"/>
                      <w:szCs w:val="21"/>
                    </w:rPr>
                  </w:pPr>
                </w:p>
              </w:tc>
              <w:tc>
                <w:tcPr>
                  <w:tcW w:w="2657" w:type="pct"/>
                  <w:gridSpan w:val="3"/>
                  <w:shd w:val="clear" w:color="auto" w:fill="FFFFFF"/>
                  <w:vAlign w:val="center"/>
                </w:tcPr>
                <w:p>
                  <w:pPr>
                    <w:jc w:val="center"/>
                    <w:rPr>
                      <w:rFonts w:cs="Times New Roman"/>
                      <w:color w:val="000000" w:themeColor="text1"/>
                      <w:sz w:val="21"/>
                    </w:rPr>
                  </w:pPr>
                  <w:r>
                    <w:rPr>
                      <w:rFonts w:cs="Times New Roman"/>
                      <w:color w:val="000000" w:themeColor="text1"/>
                      <w:sz w:val="21"/>
                    </w:rPr>
                    <w:t>油烟</w:t>
                  </w:r>
                </w:p>
              </w:tc>
              <w:tc>
                <w:tcPr>
                  <w:tcW w:w="935" w:type="pct"/>
                  <w:shd w:val="clear" w:color="auto" w:fill="FFFFFF"/>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rPr>
                    <w:t>0.</w:t>
                  </w:r>
                  <w:r>
                    <w:rPr>
                      <w:rFonts w:hint="eastAsia" w:ascii="Times New Roman" w:hAnsi="Times New Roman" w:cs="Times New Roman" w:eastAsiaTheme="minorEastAsia"/>
                      <w:color w:val="000000" w:themeColor="text1"/>
                    </w:rPr>
                    <w:t>004</w:t>
                  </w:r>
                  <w:r>
                    <w:rPr>
                      <w:rFonts w:ascii="Times New Roman" w:hAnsi="Times New Roman" w:cs="Times New Roman" w:eastAsiaTheme="minorEastAsia"/>
                      <w:color w:val="000000" w:themeColor="text1"/>
                    </w:rPr>
                    <w:t>t/a</w:t>
                  </w:r>
                </w:p>
              </w:tc>
            </w:tr>
          </w:tbl>
          <w:p>
            <w:pPr>
              <w:pStyle w:val="15"/>
              <w:ind w:firstLine="480" w:firstLineChars="200"/>
              <w:jc w:val="both"/>
              <w:rPr>
                <w:rFonts w:cs="Times New Roman" w:eastAsiaTheme="minorEastAsia"/>
                <w:color w:val="000000" w:themeColor="text1"/>
              </w:rPr>
            </w:pPr>
            <w:r>
              <w:rPr>
                <w:rFonts w:hint="eastAsia" w:ascii="宋体" w:hAnsi="宋体" w:cs="宋体"/>
                <w:b w:val="0"/>
                <w:color w:val="000000" w:themeColor="text1"/>
                <w:szCs w:val="21"/>
              </w:rPr>
              <w:t>②</w:t>
            </w:r>
            <w:r>
              <w:rPr>
                <w:rFonts w:cs="Times New Roman" w:eastAsiaTheme="minorEastAsia"/>
                <w:b w:val="0"/>
                <w:color w:val="000000" w:themeColor="text1"/>
                <w:szCs w:val="21"/>
              </w:rPr>
              <w:t>无组织排放量核算</w:t>
            </w:r>
          </w:p>
          <w:p>
            <w:pPr>
              <w:keepNext/>
              <w:jc w:val="center"/>
              <w:rPr>
                <w:rFonts w:cs="Times New Roman"/>
                <w:b/>
                <w:color w:val="000000" w:themeColor="text1"/>
                <w:sz w:val="21"/>
              </w:rPr>
            </w:pPr>
            <w:r>
              <w:rPr>
                <w:rFonts w:cs="Times New Roman"/>
                <w:b/>
                <w:color w:val="000000" w:themeColor="text1"/>
                <w:sz w:val="21"/>
              </w:rPr>
              <w:t>表7.2-1</w:t>
            </w:r>
            <w:r>
              <w:rPr>
                <w:rFonts w:hint="eastAsia" w:cs="Times New Roman"/>
                <w:b/>
                <w:color w:val="000000" w:themeColor="text1"/>
                <w:sz w:val="21"/>
              </w:rPr>
              <w:t>8</w:t>
            </w:r>
            <w:r>
              <w:rPr>
                <w:rFonts w:cs="Times New Roman"/>
                <w:b/>
                <w:color w:val="000000" w:themeColor="text1"/>
                <w:sz w:val="21"/>
              </w:rPr>
              <w:t xml:space="preserve"> </w:t>
            </w:r>
            <w:r>
              <w:rPr>
                <w:rFonts w:cs="Times New Roman"/>
                <w:b/>
                <w:bCs/>
                <w:color w:val="000000" w:themeColor="text1"/>
                <w:sz w:val="21"/>
              </w:rPr>
              <w:t>大气污染物无组织排放量核算表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779"/>
              <w:gridCol w:w="792"/>
              <w:gridCol w:w="2080"/>
              <w:gridCol w:w="2137"/>
              <w:gridCol w:w="1039"/>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78" w:type="pct"/>
                  <w:vMerge w:val="restar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序号</w:t>
                  </w:r>
                </w:p>
              </w:tc>
              <w:tc>
                <w:tcPr>
                  <w:tcW w:w="469" w:type="pct"/>
                  <w:vMerge w:val="restar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产污环节</w:t>
                  </w:r>
                </w:p>
              </w:tc>
              <w:tc>
                <w:tcPr>
                  <w:tcW w:w="475" w:type="pct"/>
                  <w:vMerge w:val="restar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污染物</w:t>
                  </w:r>
                </w:p>
              </w:tc>
              <w:tc>
                <w:tcPr>
                  <w:tcW w:w="1253" w:type="pct"/>
                  <w:vMerge w:val="restar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主要污染防治措施</w:t>
                  </w:r>
                </w:p>
              </w:tc>
              <w:tc>
                <w:tcPr>
                  <w:tcW w:w="1913" w:type="pct"/>
                  <w:gridSpan w:val="2"/>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国家或地方污染物排放标准</w:t>
                  </w:r>
                </w:p>
              </w:tc>
              <w:tc>
                <w:tcPr>
                  <w:tcW w:w="607" w:type="pct"/>
                  <w:vMerge w:val="restart"/>
                  <w:vAlign w:val="center"/>
                </w:tcPr>
                <w:p>
                  <w:pPr>
                    <w:pStyle w:val="78"/>
                    <w:spacing w:before="24" w:after="24"/>
                    <w:rPr>
                      <w:rFonts w:ascii="Times New Roman" w:hAnsi="Times New Roman" w:cs="Times New Roman" w:eastAsiaTheme="minorEastAsia"/>
                      <w:color w:val="000000" w:themeColor="text1"/>
                    </w:rPr>
                  </w:pPr>
                  <w:r>
                    <w:rPr>
                      <w:rFonts w:ascii="Times New Roman" w:hAnsi="Times New Roman" w:cs="Times New Roman" w:eastAsiaTheme="minorEastAsia"/>
                      <w:color w:val="000000" w:themeColor="text1"/>
                      <w:szCs w:val="21"/>
                    </w:rPr>
                    <w:t>年排放量</w:t>
                  </w:r>
                  <w:r>
                    <w:rPr>
                      <w:rFonts w:ascii="Times New Roman" w:hAnsi="Times New Roman" w:cs="Times New Roman" w:eastAsiaTheme="minorEastAsia"/>
                      <w:bCs/>
                      <w:color w:val="000000" w:themeColor="text1"/>
                    </w:rPr>
                    <w:t>/(t/a)</w:t>
                  </w:r>
                </w:p>
                <w:p>
                  <w:pPr>
                    <w:pStyle w:val="78"/>
                    <w:spacing w:before="24" w:after="24"/>
                    <w:rPr>
                      <w:rFonts w:ascii="Times New Roman" w:hAnsi="Times New Roman" w:cs="Times New Roman" w:eastAsiaTheme="minorEastAsia"/>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278" w:type="pct"/>
                  <w:vMerge w:val="continue"/>
                  <w:vAlign w:val="center"/>
                </w:tcPr>
                <w:p>
                  <w:pPr>
                    <w:widowControl/>
                    <w:jc w:val="left"/>
                    <w:rPr>
                      <w:rFonts w:cs="Times New Roman"/>
                      <w:color w:val="000000" w:themeColor="text1"/>
                      <w:kern w:val="0"/>
                      <w:sz w:val="21"/>
                    </w:rPr>
                  </w:pPr>
                </w:p>
              </w:tc>
              <w:tc>
                <w:tcPr>
                  <w:tcW w:w="469" w:type="pct"/>
                  <w:vMerge w:val="continue"/>
                  <w:vAlign w:val="center"/>
                </w:tcPr>
                <w:p>
                  <w:pPr>
                    <w:widowControl/>
                    <w:jc w:val="left"/>
                    <w:rPr>
                      <w:rFonts w:cs="Times New Roman"/>
                      <w:color w:val="000000" w:themeColor="text1"/>
                      <w:kern w:val="0"/>
                      <w:sz w:val="21"/>
                    </w:rPr>
                  </w:pPr>
                </w:p>
              </w:tc>
              <w:tc>
                <w:tcPr>
                  <w:tcW w:w="475" w:type="pct"/>
                  <w:vMerge w:val="continue"/>
                  <w:vAlign w:val="center"/>
                </w:tcPr>
                <w:p>
                  <w:pPr>
                    <w:widowControl/>
                    <w:jc w:val="left"/>
                    <w:rPr>
                      <w:rFonts w:cs="Times New Roman"/>
                      <w:color w:val="000000" w:themeColor="text1"/>
                      <w:kern w:val="0"/>
                      <w:sz w:val="21"/>
                    </w:rPr>
                  </w:pPr>
                </w:p>
              </w:tc>
              <w:tc>
                <w:tcPr>
                  <w:tcW w:w="1253" w:type="pct"/>
                  <w:vMerge w:val="continue"/>
                  <w:vAlign w:val="center"/>
                </w:tcPr>
                <w:p>
                  <w:pPr>
                    <w:widowControl/>
                    <w:jc w:val="left"/>
                    <w:rPr>
                      <w:rFonts w:cs="Times New Roman"/>
                      <w:color w:val="000000" w:themeColor="text1"/>
                      <w:kern w:val="0"/>
                      <w:sz w:val="21"/>
                    </w:rPr>
                  </w:pPr>
                </w:p>
              </w:tc>
              <w:tc>
                <w:tcPr>
                  <w:tcW w:w="1287" w:type="pc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标准名称</w:t>
                  </w:r>
                </w:p>
              </w:tc>
              <w:tc>
                <w:tcPr>
                  <w:tcW w:w="626" w:type="pct"/>
                  <w:vAlign w:val="center"/>
                </w:tcPr>
                <w:p>
                  <w:pPr>
                    <w:pStyle w:val="78"/>
                    <w:spacing w:before="24" w:after="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浓度限值/</w:t>
                  </w:r>
                </w:p>
                <w:p>
                  <w:pPr>
                    <w:jc w:val="center"/>
                    <w:rPr>
                      <w:rFonts w:cs="Times New Roman"/>
                      <w:color w:val="000000" w:themeColor="text1"/>
                      <w:sz w:val="21"/>
                    </w:rPr>
                  </w:pPr>
                  <w:r>
                    <w:rPr>
                      <w:rFonts w:cs="Times New Roman"/>
                      <w:bCs/>
                      <w:color w:val="000000" w:themeColor="text1"/>
                      <w:kern w:val="0"/>
                      <w:sz w:val="21"/>
                    </w:rPr>
                    <w:t>(ug/m</w:t>
                  </w:r>
                  <w:r>
                    <w:rPr>
                      <w:rFonts w:cs="Times New Roman"/>
                      <w:bCs/>
                      <w:color w:val="000000" w:themeColor="text1"/>
                      <w:kern w:val="0"/>
                      <w:sz w:val="21"/>
                      <w:vertAlign w:val="superscript"/>
                    </w:rPr>
                    <w:t>3</w:t>
                  </w:r>
                  <w:r>
                    <w:rPr>
                      <w:rFonts w:cs="Times New Roman"/>
                      <w:bCs/>
                      <w:color w:val="000000" w:themeColor="text1"/>
                      <w:kern w:val="0"/>
                      <w:sz w:val="21"/>
                    </w:rPr>
                    <w:t>)</w:t>
                  </w:r>
                </w:p>
              </w:tc>
              <w:tc>
                <w:tcPr>
                  <w:tcW w:w="607" w:type="pct"/>
                  <w:vMerge w:val="continue"/>
                  <w:vAlign w:val="center"/>
                </w:tcPr>
                <w:p>
                  <w:pPr>
                    <w:widowControl/>
                    <w:jc w:val="left"/>
                    <w:rPr>
                      <w:rFonts w:cs="Times New Roman"/>
                      <w:color w:val="000000" w:themeColor="text1"/>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278" w:type="pc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1</w:t>
                  </w:r>
                </w:p>
              </w:tc>
              <w:tc>
                <w:tcPr>
                  <w:tcW w:w="469" w:type="pct"/>
                  <w:vAlign w:val="center"/>
                </w:tcPr>
                <w:p>
                  <w:pPr>
                    <w:pStyle w:val="82"/>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卸料粉尘</w:t>
                  </w:r>
                </w:p>
              </w:tc>
              <w:tc>
                <w:tcPr>
                  <w:tcW w:w="475" w:type="pct"/>
                  <w:vAlign w:val="center"/>
                </w:tcPr>
                <w:p>
                  <w:pPr>
                    <w:jc w:val="center"/>
                    <w:rPr>
                      <w:rFonts w:cs="Times New Roman"/>
                      <w:color w:val="000000" w:themeColor="text1"/>
                      <w:sz w:val="21"/>
                    </w:rPr>
                  </w:pPr>
                  <w:r>
                    <w:rPr>
                      <w:rFonts w:cs="Times New Roman"/>
                      <w:color w:val="000000" w:themeColor="text1"/>
                      <w:sz w:val="21"/>
                    </w:rPr>
                    <w:t>颗粒物</w:t>
                  </w:r>
                </w:p>
              </w:tc>
              <w:tc>
                <w:tcPr>
                  <w:tcW w:w="1253" w:type="pct"/>
                  <w:vAlign w:val="center"/>
                </w:tcPr>
                <w:p>
                  <w:pPr>
                    <w:jc w:val="center"/>
                    <w:rPr>
                      <w:rFonts w:cs="Times New Roman"/>
                      <w:color w:val="000000" w:themeColor="text1"/>
                      <w:sz w:val="21"/>
                    </w:rPr>
                  </w:pPr>
                  <w:r>
                    <w:rPr>
                      <w:rFonts w:cs="Times New Roman"/>
                      <w:color w:val="000000" w:themeColor="text1"/>
                      <w:sz w:val="21"/>
                    </w:rPr>
                    <w:t>封闭式储存、安装定向喷头措施</w:t>
                  </w:r>
                </w:p>
              </w:tc>
              <w:tc>
                <w:tcPr>
                  <w:tcW w:w="1287" w:type="pct"/>
                  <w:vMerge w:val="restar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t>《水泥工业大气污染物排放标准》(GB 4915-2013)</w:t>
                  </w:r>
                </w:p>
              </w:tc>
              <w:tc>
                <w:tcPr>
                  <w:tcW w:w="626" w:type="pc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t>0.5</w:t>
                  </w:r>
                </w:p>
              </w:tc>
              <w:tc>
                <w:tcPr>
                  <w:tcW w:w="607" w:type="pc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t>0.</w:t>
                  </w:r>
                  <w:r>
                    <w:rPr>
                      <w:rFonts w:hint="eastAsia" w:ascii="Times New Roman" w:hAnsi="Times New Roman" w:cs="Times New Roman" w:eastAsiaTheme="minorEastAsia"/>
                      <w:color w:val="000000" w:themeColor="text1"/>
                      <w:kern w:val="0"/>
                      <w:szCs w:val="21"/>
                      <w:lang w:val="en-US" w:eastAsia="zh-CN"/>
                    </w:rPr>
                    <w:t>18</w:t>
                  </w:r>
                  <w:r>
                    <w:rPr>
                      <w:rFonts w:ascii="Times New Roman" w:hAnsi="Times New Roman" w:cs="Times New Roman" w:eastAsiaTheme="minorEastAsia"/>
                      <w:color w:val="000000" w:themeColor="text1"/>
                      <w:kern w:val="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278" w:type="pct"/>
                  <w:vAlign w:val="center"/>
                </w:tcPr>
                <w:p>
                  <w:pPr>
                    <w:pStyle w:val="78"/>
                    <w:spacing w:before="24" w:after="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2</w:t>
                  </w:r>
                </w:p>
              </w:tc>
              <w:tc>
                <w:tcPr>
                  <w:tcW w:w="469" w:type="pct"/>
                  <w:vAlign w:val="center"/>
                </w:tcPr>
                <w:p>
                  <w:pPr>
                    <w:jc w:val="center"/>
                    <w:rPr>
                      <w:rFonts w:cs="Times New Roman"/>
                      <w:color w:val="000000" w:themeColor="text1"/>
                      <w:sz w:val="21"/>
                    </w:rPr>
                  </w:pPr>
                  <w:r>
                    <w:rPr>
                      <w:rFonts w:cs="Times New Roman"/>
                      <w:color w:val="000000" w:themeColor="text1"/>
                      <w:sz w:val="21"/>
                    </w:rPr>
                    <w:t>堆场扬尘</w:t>
                  </w:r>
                </w:p>
              </w:tc>
              <w:tc>
                <w:tcPr>
                  <w:tcW w:w="475" w:type="pct"/>
                  <w:vAlign w:val="center"/>
                </w:tcPr>
                <w:p>
                  <w:pPr>
                    <w:pStyle w:val="15"/>
                    <w:adjustRightInd w:val="0"/>
                    <w:snapToGrid w:val="0"/>
                    <w:spacing w:line="240" w:lineRule="auto"/>
                    <w:rPr>
                      <w:rFonts w:cs="Times New Roman" w:eastAsiaTheme="minorEastAsia"/>
                      <w:b w:val="0"/>
                      <w:color w:val="000000" w:themeColor="text1"/>
                      <w:sz w:val="21"/>
                      <w:szCs w:val="21"/>
                    </w:rPr>
                  </w:pPr>
                  <w:r>
                    <w:rPr>
                      <w:rFonts w:cs="Times New Roman" w:eastAsiaTheme="minorEastAsia"/>
                      <w:b w:val="0"/>
                      <w:color w:val="000000" w:themeColor="text1"/>
                      <w:sz w:val="21"/>
                      <w:szCs w:val="21"/>
                    </w:rPr>
                    <w:t>颗粒物</w:t>
                  </w:r>
                </w:p>
              </w:tc>
              <w:tc>
                <w:tcPr>
                  <w:tcW w:w="1253" w:type="pct"/>
                  <w:vAlign w:val="center"/>
                </w:tcPr>
                <w:p>
                  <w:pPr>
                    <w:jc w:val="center"/>
                    <w:rPr>
                      <w:rFonts w:cs="Times New Roman"/>
                      <w:color w:val="000000" w:themeColor="text1"/>
                      <w:sz w:val="21"/>
                    </w:rPr>
                  </w:pPr>
                  <w:r>
                    <w:rPr>
                      <w:rFonts w:cs="Times New Roman"/>
                      <w:color w:val="000000" w:themeColor="text1"/>
                      <w:sz w:val="21"/>
                    </w:rPr>
                    <w:t>装卸时采用移动式软管对石料洒水防尘措施</w:t>
                  </w:r>
                </w:p>
              </w:tc>
              <w:tc>
                <w:tcPr>
                  <w:tcW w:w="1287" w:type="pct"/>
                  <w:vMerge w:val="continue"/>
                  <w:vAlign w:val="center"/>
                </w:tcPr>
                <w:p>
                  <w:pPr>
                    <w:pStyle w:val="78"/>
                    <w:spacing w:before="24" w:after="24"/>
                    <w:rPr>
                      <w:rFonts w:ascii="Times New Roman" w:hAnsi="Times New Roman" w:cs="Times New Roman" w:eastAsiaTheme="minorEastAsia"/>
                      <w:color w:val="000000" w:themeColor="text1"/>
                      <w:szCs w:val="21"/>
                    </w:rPr>
                  </w:pPr>
                </w:p>
              </w:tc>
              <w:tc>
                <w:tcPr>
                  <w:tcW w:w="626" w:type="pct"/>
                  <w:vAlign w:val="center"/>
                </w:tcPr>
                <w:p>
                  <w:pPr>
                    <w:pStyle w:val="78"/>
                    <w:spacing w:before="24" w:after="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kern w:val="0"/>
                      <w:szCs w:val="21"/>
                    </w:rPr>
                    <w:t>0.5</w:t>
                  </w:r>
                </w:p>
              </w:tc>
              <w:tc>
                <w:tcPr>
                  <w:tcW w:w="607" w:type="pct"/>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0.017t/a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278" w:type="pct"/>
                  <w:vAlign w:val="center"/>
                </w:tcPr>
                <w:p>
                  <w:pPr>
                    <w:pStyle w:val="78"/>
                    <w:spacing w:before="24" w:after="24"/>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3</w:t>
                  </w:r>
                </w:p>
              </w:tc>
              <w:tc>
                <w:tcPr>
                  <w:tcW w:w="469" w:type="pct"/>
                  <w:vAlign w:val="center"/>
                </w:tcPr>
                <w:p>
                  <w:pPr>
                    <w:jc w:val="center"/>
                    <w:rPr>
                      <w:rFonts w:cs="Times New Roman"/>
                      <w:color w:val="000000" w:themeColor="text1"/>
                      <w:sz w:val="21"/>
                    </w:rPr>
                  </w:pPr>
                  <w:r>
                    <w:rPr>
                      <w:rFonts w:hint="eastAsia" w:cs="Times New Roman"/>
                      <w:color w:val="000000" w:themeColor="text1"/>
                      <w:sz w:val="21"/>
                    </w:rPr>
                    <w:t>筒仓粉尘</w:t>
                  </w:r>
                </w:p>
              </w:tc>
              <w:tc>
                <w:tcPr>
                  <w:tcW w:w="475" w:type="pct"/>
                  <w:vAlign w:val="center"/>
                </w:tcPr>
                <w:p>
                  <w:pPr>
                    <w:pStyle w:val="15"/>
                    <w:adjustRightInd w:val="0"/>
                    <w:snapToGrid w:val="0"/>
                    <w:spacing w:line="240" w:lineRule="auto"/>
                    <w:rPr>
                      <w:rFonts w:cs="Times New Roman" w:eastAsiaTheme="minorEastAsia"/>
                      <w:b w:val="0"/>
                      <w:color w:val="000000" w:themeColor="text1"/>
                      <w:sz w:val="21"/>
                      <w:szCs w:val="21"/>
                    </w:rPr>
                  </w:pPr>
                  <w:r>
                    <w:rPr>
                      <w:rFonts w:cs="Times New Roman" w:eastAsiaTheme="minorEastAsia"/>
                      <w:b w:val="0"/>
                      <w:color w:val="000000" w:themeColor="text1"/>
                      <w:sz w:val="21"/>
                      <w:szCs w:val="21"/>
                    </w:rPr>
                    <w:t>颗粒物</w:t>
                  </w:r>
                </w:p>
              </w:tc>
              <w:tc>
                <w:tcPr>
                  <w:tcW w:w="1253" w:type="pct"/>
                  <w:vAlign w:val="center"/>
                </w:tcPr>
                <w:p>
                  <w:pPr>
                    <w:jc w:val="center"/>
                    <w:rPr>
                      <w:rFonts w:cs="Times New Roman"/>
                      <w:color w:val="000000" w:themeColor="text1"/>
                      <w:sz w:val="21"/>
                    </w:rPr>
                  </w:pPr>
                  <w:r>
                    <w:rPr>
                      <w:rFonts w:hint="eastAsia" w:cs="Times New Roman"/>
                      <w:color w:val="000000" w:themeColor="text1"/>
                      <w:sz w:val="21"/>
                    </w:rPr>
                    <w:t>筒仓自带脉冲除尘器</w:t>
                  </w:r>
                </w:p>
              </w:tc>
              <w:tc>
                <w:tcPr>
                  <w:tcW w:w="1287" w:type="pct"/>
                  <w:vMerge w:val="continue"/>
                  <w:vAlign w:val="center"/>
                </w:tcPr>
                <w:p>
                  <w:pPr>
                    <w:pStyle w:val="78"/>
                    <w:spacing w:before="24" w:after="24"/>
                    <w:rPr>
                      <w:rFonts w:ascii="Times New Roman" w:hAnsi="Times New Roman" w:cs="Times New Roman" w:eastAsiaTheme="minorEastAsia"/>
                      <w:color w:val="000000" w:themeColor="text1"/>
                      <w:szCs w:val="21"/>
                    </w:rPr>
                  </w:pPr>
                </w:p>
              </w:tc>
              <w:tc>
                <w:tcPr>
                  <w:tcW w:w="626" w:type="pct"/>
                  <w:vAlign w:val="center"/>
                </w:tcPr>
                <w:p>
                  <w:pPr>
                    <w:pStyle w:val="78"/>
                    <w:spacing w:before="24" w:after="24"/>
                    <w:rPr>
                      <w:rFonts w:ascii="Times New Roman" w:hAnsi="Times New Roman" w:cs="Times New Roman" w:eastAsiaTheme="minorEastAsia"/>
                      <w:color w:val="000000" w:themeColor="text1"/>
                      <w:kern w:val="0"/>
                      <w:szCs w:val="21"/>
                    </w:rPr>
                  </w:pPr>
                  <w:r>
                    <w:rPr>
                      <w:rFonts w:hint="eastAsia" w:ascii="Times New Roman" w:hAnsi="Times New Roman" w:cs="Times New Roman" w:eastAsiaTheme="minorEastAsia"/>
                      <w:color w:val="000000" w:themeColor="text1"/>
                      <w:kern w:val="0"/>
                      <w:szCs w:val="21"/>
                    </w:rPr>
                    <w:t>0.5</w:t>
                  </w:r>
                </w:p>
              </w:tc>
              <w:tc>
                <w:tcPr>
                  <w:tcW w:w="607" w:type="pct"/>
                  <w:vAlign w:val="center"/>
                </w:tcPr>
                <w:p>
                  <w:pPr>
                    <w:pStyle w:val="78"/>
                    <w:spacing w:before="24"/>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lang w:val="en-US" w:eastAsia="zh-CN"/>
                    </w:rPr>
                    <w:t>0.189</w:t>
                  </w:r>
                  <w:r>
                    <w:rPr>
                      <w:rFonts w:hint="eastAsia" w:ascii="Times New Roman" w:hAnsi="Times New Roman" w:cs="Times New Roman" w:eastAsiaTheme="minorEastAsia"/>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5000" w:type="pct"/>
                  <w:gridSpan w:val="7"/>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224" w:type="pct"/>
                  <w:gridSpan w:val="3"/>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szCs w:val="21"/>
                    </w:rPr>
                    <w:t>无组织排放总计</w:t>
                  </w:r>
                </w:p>
              </w:tc>
              <w:tc>
                <w:tcPr>
                  <w:tcW w:w="2540" w:type="pct"/>
                  <w:gridSpan w:val="2"/>
                  <w:vAlign w:val="center"/>
                </w:tcPr>
                <w:p>
                  <w:pPr>
                    <w:jc w:val="center"/>
                    <w:rPr>
                      <w:rFonts w:cs="Times New Roman"/>
                      <w:color w:val="000000" w:themeColor="text1"/>
                      <w:sz w:val="21"/>
                    </w:rPr>
                  </w:pPr>
                  <w:r>
                    <w:rPr>
                      <w:rFonts w:cs="Times New Roman"/>
                      <w:color w:val="000000" w:themeColor="text1"/>
                      <w:sz w:val="21"/>
                    </w:rPr>
                    <w:t>颗粒物</w:t>
                  </w:r>
                </w:p>
              </w:tc>
              <w:tc>
                <w:tcPr>
                  <w:tcW w:w="1234" w:type="pct"/>
                  <w:gridSpan w:val="2"/>
                  <w:vAlign w:val="center"/>
                </w:tcPr>
                <w:p>
                  <w:pPr>
                    <w:pStyle w:val="78"/>
                    <w:spacing w:before="24"/>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lang w:val="en-US" w:eastAsia="zh-CN"/>
                    </w:rPr>
                    <w:t>0.386</w:t>
                  </w:r>
                  <w:r>
                    <w:rPr>
                      <w:rFonts w:ascii="Times New Roman" w:hAnsi="Times New Roman" w:cs="Times New Roman" w:eastAsiaTheme="minorEastAsia"/>
                      <w:color w:val="000000" w:themeColor="text1"/>
                      <w:szCs w:val="21"/>
                    </w:rPr>
                    <w:t>t/a</w:t>
                  </w:r>
                </w:p>
              </w:tc>
            </w:tr>
          </w:tbl>
          <w:p>
            <w:pPr>
              <w:spacing w:line="360" w:lineRule="auto"/>
              <w:ind w:firstLine="480" w:firstLineChars="200"/>
              <w:rPr>
                <w:rFonts w:cs="Times New Roman"/>
                <w:color w:val="000000" w:themeColor="text1"/>
              </w:rPr>
            </w:pPr>
            <w:r>
              <w:rPr>
                <w:rFonts w:cs="Times New Roman"/>
                <w:color w:val="000000" w:themeColor="text1"/>
              </w:rPr>
              <w:t>③项目大气污染物年排放量核算</w:t>
            </w:r>
          </w:p>
          <w:p>
            <w:pPr>
              <w:keepNext/>
              <w:adjustRightInd w:val="0"/>
              <w:snapToGrid w:val="0"/>
              <w:ind w:firstLine="422" w:firstLineChars="200"/>
              <w:jc w:val="center"/>
              <w:rPr>
                <w:rFonts w:cs="Times New Roman"/>
                <w:b/>
                <w:color w:val="000000" w:themeColor="text1"/>
                <w:sz w:val="21"/>
              </w:rPr>
            </w:pPr>
            <w:r>
              <w:rPr>
                <w:rFonts w:cs="Times New Roman"/>
                <w:b/>
                <w:color w:val="000000" w:themeColor="text1"/>
                <w:sz w:val="21"/>
              </w:rPr>
              <w:t>表7.2-1</w:t>
            </w:r>
            <w:r>
              <w:rPr>
                <w:rFonts w:hint="eastAsia" w:cs="Times New Roman"/>
                <w:b/>
                <w:color w:val="000000" w:themeColor="text1"/>
                <w:sz w:val="21"/>
              </w:rPr>
              <w:t>9</w:t>
            </w:r>
            <w:r>
              <w:rPr>
                <w:rFonts w:cs="Times New Roman"/>
                <w:b/>
                <w:color w:val="000000" w:themeColor="text1"/>
                <w:sz w:val="21"/>
              </w:rPr>
              <w:t xml:space="preserve">  </w:t>
            </w:r>
            <w:r>
              <w:rPr>
                <w:rFonts w:cs="Times New Roman"/>
                <w:b/>
                <w:bCs/>
                <w:color w:val="000000" w:themeColor="text1"/>
                <w:kern w:val="0"/>
                <w:sz w:val="21"/>
              </w:rPr>
              <w:t>大气污染物年排放量核算表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6"/>
              <w:gridCol w:w="3136"/>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序号</w:t>
                  </w:r>
                </w:p>
              </w:tc>
              <w:tc>
                <w:tcPr>
                  <w:tcW w:w="1889" w:type="pct"/>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污染物</w:t>
                  </w:r>
                </w:p>
              </w:tc>
              <w:tc>
                <w:tcPr>
                  <w:tcW w:w="1981" w:type="pct"/>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1</w:t>
                  </w:r>
                </w:p>
              </w:tc>
              <w:tc>
                <w:tcPr>
                  <w:tcW w:w="1889" w:type="pct"/>
                  <w:vAlign w:val="center"/>
                </w:tcPr>
                <w:p>
                  <w:pPr>
                    <w:pStyle w:val="15"/>
                    <w:adjustRightInd w:val="0"/>
                    <w:snapToGrid w:val="0"/>
                    <w:spacing w:line="240" w:lineRule="auto"/>
                    <w:rPr>
                      <w:rFonts w:cs="Times New Roman" w:eastAsiaTheme="minorEastAsia"/>
                      <w:b w:val="0"/>
                      <w:color w:val="000000" w:themeColor="text1"/>
                      <w:sz w:val="21"/>
                      <w:szCs w:val="21"/>
                    </w:rPr>
                  </w:pPr>
                  <w:r>
                    <w:rPr>
                      <w:rFonts w:cs="Times New Roman" w:eastAsiaTheme="minorEastAsia"/>
                      <w:b w:val="0"/>
                      <w:color w:val="000000" w:themeColor="text1"/>
                      <w:sz w:val="21"/>
                      <w:szCs w:val="21"/>
                    </w:rPr>
                    <w:t>颗粒物</w:t>
                  </w:r>
                </w:p>
              </w:tc>
              <w:tc>
                <w:tcPr>
                  <w:tcW w:w="1981" w:type="pct"/>
                  <w:vAlign w:val="center"/>
                </w:tcPr>
                <w:p>
                  <w:pPr>
                    <w:pStyle w:val="78"/>
                    <w:spacing w:before="24" w:after="24"/>
                    <w:rPr>
                      <w:rFonts w:ascii="Times New Roman" w:hAnsi="Times New Roman" w:cs="Times New Roman" w:eastAsiaTheme="minorEastAsia"/>
                      <w:color w:val="000000" w:themeColor="text1"/>
                      <w:kern w:val="0"/>
                      <w:szCs w:val="21"/>
                    </w:rPr>
                  </w:pPr>
                  <w:r>
                    <w:rPr>
                      <w:rFonts w:ascii="Times New Roman" w:hAnsi="Times New Roman" w:cs="Times New Roman" w:eastAsiaTheme="minorEastAsia"/>
                      <w:color w:val="000000" w:themeColor="text1"/>
                      <w:kern w:val="0"/>
                      <w:szCs w:val="21"/>
                    </w:rPr>
                    <w:t>0.</w:t>
                  </w:r>
                  <w:r>
                    <w:rPr>
                      <w:rFonts w:hint="eastAsia" w:ascii="Times New Roman" w:hAnsi="Times New Roman" w:cs="Times New Roman" w:eastAsiaTheme="minorEastAsia"/>
                      <w:color w:val="000000" w:themeColor="text1"/>
                      <w:kern w:val="0"/>
                      <w:szCs w:val="21"/>
                    </w:rPr>
                    <w:t>4</w:t>
                  </w:r>
                  <w:r>
                    <w:rPr>
                      <w:rFonts w:hint="eastAsia" w:ascii="Times New Roman" w:hAnsi="Times New Roman" w:cs="Times New Roman" w:eastAsiaTheme="minorEastAsia"/>
                      <w:color w:val="000000" w:themeColor="text1"/>
                      <w:kern w:val="0"/>
                      <w:szCs w:val="21"/>
                      <w:lang w:val="en-US" w:eastAsia="zh-CN"/>
                    </w:rPr>
                    <w:t>26</w:t>
                  </w:r>
                  <w:r>
                    <w:rPr>
                      <w:rFonts w:ascii="Times New Roman" w:hAnsi="Times New Roman" w:cs="Times New Roman" w:eastAsiaTheme="minorEastAsia"/>
                      <w:color w:val="000000" w:themeColor="text1"/>
                      <w:kern w:val="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t>2</w:t>
                  </w:r>
                </w:p>
              </w:tc>
              <w:tc>
                <w:tcPr>
                  <w:tcW w:w="1889" w:type="pct"/>
                  <w:vAlign w:val="center"/>
                </w:tcPr>
                <w:p>
                  <w:pPr>
                    <w:pStyle w:val="15"/>
                    <w:adjustRightInd w:val="0"/>
                    <w:snapToGrid w:val="0"/>
                    <w:spacing w:line="240" w:lineRule="auto"/>
                    <w:rPr>
                      <w:rFonts w:cs="Times New Roman" w:eastAsiaTheme="minorEastAsia"/>
                      <w:b w:val="0"/>
                      <w:color w:val="000000" w:themeColor="text1"/>
                      <w:sz w:val="21"/>
                      <w:szCs w:val="21"/>
                    </w:rPr>
                  </w:pPr>
                  <w:r>
                    <w:rPr>
                      <w:rFonts w:cs="Times New Roman" w:eastAsiaTheme="minorEastAsia"/>
                      <w:b w:val="0"/>
                      <w:color w:val="000000" w:themeColor="text1"/>
                      <w:sz w:val="21"/>
                      <w:szCs w:val="21"/>
                    </w:rPr>
                    <w:t>食堂油烟</w:t>
                  </w:r>
                </w:p>
              </w:tc>
              <w:tc>
                <w:tcPr>
                  <w:tcW w:w="1981" w:type="pct"/>
                  <w:vAlign w:val="center"/>
                </w:tcPr>
                <w:p>
                  <w:pPr>
                    <w:pStyle w:val="78"/>
                    <w:spacing w:before="24"/>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rPr>
                    <w:t>0.</w:t>
                  </w:r>
                  <w:r>
                    <w:rPr>
                      <w:rFonts w:hint="eastAsia" w:ascii="Times New Roman" w:hAnsi="Times New Roman" w:cs="Times New Roman" w:eastAsiaTheme="minorEastAsia"/>
                      <w:color w:val="000000" w:themeColor="text1"/>
                    </w:rPr>
                    <w:t>004</w:t>
                  </w:r>
                  <w:r>
                    <w:rPr>
                      <w:rFonts w:ascii="Times New Roman" w:hAnsi="Times New Roman" w:cs="Times New Roman" w:eastAsiaTheme="minorEastAsia"/>
                      <w:color w:val="000000" w:themeColor="text1"/>
                    </w:rPr>
                    <w:t>t/a</w:t>
                  </w:r>
                </w:p>
              </w:tc>
            </w:tr>
          </w:tbl>
          <w:p>
            <w:pPr>
              <w:pStyle w:val="8"/>
            </w:pPr>
            <w:r>
              <w:t>大气防护距离</w:t>
            </w:r>
          </w:p>
          <w:p>
            <w:pPr>
              <w:spacing w:line="360" w:lineRule="auto"/>
              <w:ind w:firstLine="480" w:firstLineChars="200"/>
              <w:rPr>
                <w:rFonts w:cs="Times New Roman"/>
              </w:rPr>
            </w:pPr>
            <w:r>
              <w:rPr>
                <w:rFonts w:cs="Times New Roman"/>
              </w:rPr>
              <w:t>根据《环境影响评价技术导则——大气环境（HJ2.2-2018）》，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排放下风向最大落地浓度占标率均小于10%，厂界外不存在短期贡献浓度超标点。</w:t>
            </w:r>
          </w:p>
          <w:p>
            <w:pPr>
              <w:spacing w:line="360" w:lineRule="auto"/>
              <w:ind w:firstLine="480" w:firstLineChars="200"/>
              <w:rPr>
                <w:rFonts w:cs="Times New Roman"/>
              </w:rPr>
            </w:pPr>
            <w:r>
              <w:rPr>
                <w:rFonts w:cs="Times New Roman"/>
              </w:rPr>
              <w:t>因此，本项目无需设置大气防护距离。</w:t>
            </w:r>
          </w:p>
          <w:p>
            <w:pPr>
              <w:pStyle w:val="8"/>
            </w:pPr>
            <w:r>
              <w:rPr>
                <w:rFonts w:hint="eastAsia"/>
              </w:rPr>
              <w:t>运输对沿线居民的影响分析</w:t>
            </w:r>
          </w:p>
          <w:p>
            <w:pPr>
              <w:spacing w:line="360" w:lineRule="auto"/>
              <w:ind w:firstLine="480" w:firstLineChars="200"/>
            </w:pPr>
            <w:r>
              <w:rPr>
                <w:rFonts w:hint="eastAsia"/>
                <w:kern w:val="0"/>
              </w:rPr>
              <w:t>本</w:t>
            </w:r>
            <w:r>
              <w:rPr>
                <w:rFonts w:hint="eastAsia"/>
              </w:rPr>
              <w:t xml:space="preserve">项目原材料及成品运输过程中产生的交通噪声和扬尘对沿线居民生活环境产生一定的影响，特别是夜间。因此，评价建议采取如下噪声防治措施： </w:t>
            </w:r>
          </w:p>
          <w:p>
            <w:pPr>
              <w:spacing w:line="360" w:lineRule="auto"/>
              <w:ind w:firstLine="480" w:firstLineChars="200"/>
              <w:jc w:val="left"/>
            </w:pPr>
            <w:r>
              <w:t xml:space="preserve">（1）严禁车辆超速、超载、超高运输，在经过集中居民区时应低速行驶； </w:t>
            </w:r>
          </w:p>
          <w:p>
            <w:pPr>
              <w:spacing w:line="360" w:lineRule="auto"/>
              <w:ind w:firstLine="480" w:firstLineChars="200"/>
              <w:jc w:val="left"/>
            </w:pPr>
            <w:r>
              <w:t xml:space="preserve">（2）合理安排下货、进料、生产、运输的作业时间，夜间不能生产作业和运输； </w:t>
            </w:r>
          </w:p>
          <w:p>
            <w:pPr>
              <w:spacing w:line="360" w:lineRule="auto"/>
              <w:ind w:firstLine="480" w:firstLineChars="200"/>
              <w:jc w:val="left"/>
            </w:pPr>
            <w:r>
              <w:t xml:space="preserve">（3）加强对运输车辆的日常维护，避免因故障运行而产生高强度噪声； </w:t>
            </w:r>
          </w:p>
          <w:p>
            <w:pPr>
              <w:spacing w:line="360" w:lineRule="auto"/>
              <w:ind w:firstLine="480" w:firstLineChars="200"/>
              <w:jc w:val="left"/>
            </w:pPr>
            <w:r>
              <w:t xml:space="preserve">（4）加强运输道路的维护，对路面破损路段进行硬化修复。 </w:t>
            </w:r>
          </w:p>
          <w:p>
            <w:pPr>
              <w:spacing w:line="360" w:lineRule="auto"/>
              <w:ind w:firstLine="480" w:firstLineChars="200"/>
              <w:jc w:val="left"/>
            </w:pPr>
            <w:r>
              <w:t>（5）加强对原料的调度管理，在物料堆放、装卸过程中尽量降低落差，文明装卸，减少原料在装卸、运输过程产生的粉尘。</w:t>
            </w:r>
          </w:p>
          <w:p>
            <w:pPr>
              <w:spacing w:line="360" w:lineRule="auto"/>
              <w:ind w:firstLine="480" w:firstLineChars="200"/>
              <w:jc w:val="left"/>
            </w:pPr>
            <w:r>
              <w:t>（6）原料运进不应装载过满，且应对运输车辆进行加盖封闭处理，成品外运时应对运输车辆进行密闭，实行密闭运输。</w:t>
            </w:r>
          </w:p>
          <w:p>
            <w:pPr>
              <w:spacing w:line="360" w:lineRule="auto"/>
              <w:ind w:firstLine="480" w:firstLineChars="200"/>
              <w:jc w:val="left"/>
            </w:pPr>
            <w:r>
              <w:t>（7）原料和产品堆场采用封闭式结构，避免原料和产品在堆存过程中因风力起尘形成无组织粉尘。</w:t>
            </w:r>
          </w:p>
          <w:p>
            <w:pPr>
              <w:spacing w:line="360" w:lineRule="auto"/>
              <w:ind w:firstLine="480" w:firstLineChars="200"/>
              <w:jc w:val="left"/>
            </w:pPr>
            <w:r>
              <w:t>在采取上述措施后，可将项目运输车辆产生的噪声和粉尘降低到最低程度，减小对沿线居民和周边敏感点的影响。</w:t>
            </w:r>
          </w:p>
          <w:p>
            <w:pPr>
              <w:pStyle w:val="7"/>
              <w:rPr>
                <w:rFonts w:cs="Times New Roman" w:eastAsiaTheme="minorEastAsia"/>
                <w:color w:val="000000" w:themeColor="text1"/>
                <w:szCs w:val="24"/>
              </w:rPr>
            </w:pPr>
            <w:r>
              <w:rPr>
                <w:rFonts w:cs="Times New Roman" w:eastAsiaTheme="minorEastAsia"/>
                <w:color w:val="000000" w:themeColor="text1"/>
                <w:szCs w:val="24"/>
              </w:rPr>
              <w:t>营运期声环境影响分析</w:t>
            </w:r>
          </w:p>
          <w:p>
            <w:pPr>
              <w:adjustRightInd w:val="0"/>
              <w:snapToGrid w:val="0"/>
              <w:spacing w:line="360" w:lineRule="auto"/>
              <w:ind w:firstLine="480" w:firstLineChars="200"/>
              <w:rPr>
                <w:rFonts w:cs="Times New Roman"/>
                <w:color w:val="000000" w:themeColor="text1"/>
                <w:szCs w:val="24"/>
              </w:rPr>
            </w:pPr>
            <w:r>
              <w:rPr>
                <w:rFonts w:cs="Times New Roman"/>
                <w:color w:val="000000" w:themeColor="text1"/>
                <w:szCs w:val="24"/>
              </w:rPr>
              <w:t>（1）噪声源强分析</w:t>
            </w:r>
          </w:p>
          <w:p>
            <w:pPr>
              <w:widowControl/>
              <w:adjustRightInd w:val="0"/>
              <w:snapToGrid w:val="0"/>
              <w:spacing w:line="360" w:lineRule="auto"/>
              <w:ind w:firstLine="480" w:firstLineChars="200"/>
              <w:rPr>
                <w:rFonts w:cs="Times New Roman"/>
                <w:color w:val="000000"/>
                <w:kern w:val="0"/>
                <w:szCs w:val="24"/>
              </w:rPr>
            </w:pPr>
            <w:r>
              <w:rPr>
                <w:rFonts w:cs="Times New Roman"/>
                <w:szCs w:val="24"/>
              </w:rPr>
              <w:t>项目主要噪声源为生产设备运行过程产生的机械噪声及车辆交通噪声，噪声源强为70～90dB（A），</w:t>
            </w:r>
            <w:r>
              <w:rPr>
                <w:rFonts w:cs="Times New Roman"/>
                <w:color w:val="000000"/>
                <w:kern w:val="0"/>
                <w:szCs w:val="24"/>
              </w:rPr>
              <w:t>本项目均使用低噪声设备，并采取了减振、厂区设置绿化带及厂房隔声等措施。经上述处理后减噪量约为20dB（A）。</w:t>
            </w:r>
          </w:p>
          <w:p>
            <w:pPr>
              <w:keepNext/>
              <w:adjustRightInd w:val="0"/>
              <w:snapToGrid w:val="0"/>
              <w:spacing w:line="360" w:lineRule="auto"/>
              <w:ind w:firstLine="480" w:firstLineChars="200"/>
              <w:rPr>
                <w:rFonts w:cs="Times New Roman"/>
                <w:szCs w:val="24"/>
              </w:rPr>
            </w:pPr>
            <w:r>
              <w:rPr>
                <w:rFonts w:cs="Times New Roman"/>
                <w:szCs w:val="24"/>
              </w:rPr>
              <w:t>（2）噪声预测模式及参数</w:t>
            </w:r>
          </w:p>
          <w:p>
            <w:pPr>
              <w:adjustRightInd w:val="0"/>
              <w:snapToGrid w:val="0"/>
              <w:spacing w:line="360" w:lineRule="auto"/>
              <w:ind w:firstLine="470" w:firstLineChars="196"/>
              <w:rPr>
                <w:rFonts w:cs="Times New Roman"/>
                <w:szCs w:val="24"/>
              </w:rPr>
            </w:pPr>
            <w:r>
              <w:rPr>
                <w:rFonts w:cs="Times New Roman"/>
                <w:szCs w:val="24"/>
              </w:rPr>
              <w:t>噪声预测采用《环境影响评价技术导则  声环境》（HJ2.4-2009）推荐的模式。本次评价具体预测模式如下：</w:t>
            </w:r>
          </w:p>
          <w:p>
            <w:pPr>
              <w:adjustRightInd w:val="0"/>
              <w:snapToGrid w:val="0"/>
              <w:spacing w:line="360" w:lineRule="auto"/>
              <w:ind w:firstLine="470" w:firstLineChars="196"/>
              <w:rPr>
                <w:rFonts w:cs="Times New Roman"/>
                <w:szCs w:val="24"/>
              </w:rPr>
            </w:pPr>
            <w:r>
              <w:rPr>
                <w:rFonts w:cs="Times New Roman"/>
                <w:szCs w:val="24"/>
              </w:rPr>
              <w:t>a. 建设项目声源在预测点产生的等效连续A声级贡献值：</w:t>
            </w:r>
          </w:p>
          <w:p>
            <w:pPr>
              <w:jc w:val="center"/>
              <w:rPr>
                <w:rFonts w:cs="Times New Roman"/>
                <w:position w:val="-30"/>
              </w:rPr>
            </w:pPr>
            <w:r>
              <w:rPr>
                <w:rFonts w:cs="Times New Roman"/>
                <w:position w:val="-30"/>
              </w:rPr>
              <w:drawing>
                <wp:inline distT="0" distB="0" distL="114300" distR="114300">
                  <wp:extent cx="1587500" cy="431800"/>
                  <wp:effectExtent l="1905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7" cstate="print"/>
                          <a:stretch>
                            <a:fillRect/>
                          </a:stretch>
                        </pic:blipFill>
                        <pic:spPr>
                          <a:xfrm>
                            <a:off x="0" y="0"/>
                            <a:ext cx="1587613" cy="431800"/>
                          </a:xfrm>
                          <a:prstGeom prst="rect">
                            <a:avLst/>
                          </a:prstGeom>
                          <a:noFill/>
                          <a:ln>
                            <a:noFill/>
                          </a:ln>
                        </pic:spPr>
                      </pic:pic>
                    </a:graphicData>
                  </a:graphic>
                </wp:inline>
              </w:drawing>
            </w:r>
          </w:p>
          <w:p>
            <w:pPr>
              <w:spacing w:line="360" w:lineRule="auto"/>
              <w:ind w:firstLine="480" w:firstLineChars="200"/>
              <w:rPr>
                <w:rFonts w:cs="Times New Roman"/>
              </w:rPr>
            </w:pPr>
            <w:r>
              <w:rPr>
                <w:rFonts w:cs="Times New Roman"/>
              </w:rPr>
              <w:t>式中：Leqg——建设项目声源在预测点的等效连续A声级贡献值，dB（A）；</w:t>
            </w:r>
          </w:p>
          <w:p>
            <w:pPr>
              <w:spacing w:line="360" w:lineRule="auto"/>
              <w:ind w:firstLine="1200" w:firstLineChars="500"/>
              <w:outlineLvl w:val="0"/>
              <w:rPr>
                <w:rFonts w:cs="Times New Roman"/>
              </w:rPr>
            </w:pPr>
            <w:r>
              <w:rPr>
                <w:rFonts w:cs="Times New Roman"/>
              </w:rPr>
              <w:t>LAi-i——声源在预测点产生的A声级，dB（A）；</w:t>
            </w:r>
          </w:p>
          <w:p>
            <w:pPr>
              <w:spacing w:line="360" w:lineRule="auto"/>
              <w:ind w:firstLine="1200" w:firstLineChars="500"/>
              <w:rPr>
                <w:rFonts w:cs="Times New Roman"/>
              </w:rPr>
            </w:pPr>
            <w:r>
              <w:rPr>
                <w:rFonts w:cs="Times New Roman"/>
              </w:rPr>
              <w:t>T——预测计算的时间段，S；</w:t>
            </w:r>
          </w:p>
          <w:p>
            <w:pPr>
              <w:spacing w:line="360" w:lineRule="auto"/>
              <w:ind w:firstLine="1200" w:firstLineChars="500"/>
              <w:rPr>
                <w:rFonts w:cs="Times New Roman"/>
              </w:rPr>
            </w:pPr>
            <w:r>
              <w:rPr>
                <w:rFonts w:cs="Times New Roman"/>
              </w:rPr>
              <w:t>Ti-i——声源在T时段内的运行时间。</w:t>
            </w:r>
          </w:p>
          <w:p>
            <w:pPr>
              <w:snapToGrid w:val="0"/>
              <w:spacing w:line="360" w:lineRule="auto"/>
              <w:ind w:firstLine="470" w:firstLineChars="196"/>
              <w:rPr>
                <w:rFonts w:cs="Times New Roman"/>
              </w:rPr>
            </w:pPr>
            <w:r>
              <w:rPr>
                <w:rFonts w:cs="Times New Roman"/>
              </w:rPr>
              <w:t>b. 预测点的预测等效连续A声级计算</w:t>
            </w:r>
          </w:p>
          <w:p>
            <w:pPr>
              <w:snapToGrid w:val="0"/>
              <w:spacing w:line="360" w:lineRule="auto"/>
              <w:ind w:firstLine="470" w:firstLineChars="196"/>
              <w:jc w:val="center"/>
              <w:rPr>
                <w:rFonts w:cs="Times New Roman"/>
                <w:position w:val="-14"/>
              </w:rPr>
            </w:pPr>
            <w:r>
              <w:rPr>
                <w:rFonts w:cs="Times New Roman"/>
                <w:position w:val="-14"/>
              </w:rPr>
              <w:drawing>
                <wp:inline distT="0" distB="0" distL="114300" distR="114300">
                  <wp:extent cx="1762125" cy="276225"/>
                  <wp:effectExtent l="0" t="0" r="9525"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8" cstate="print"/>
                          <a:stretch>
                            <a:fillRect/>
                          </a:stretch>
                        </pic:blipFill>
                        <pic:spPr>
                          <a:xfrm>
                            <a:off x="0" y="0"/>
                            <a:ext cx="1762125" cy="276225"/>
                          </a:xfrm>
                          <a:prstGeom prst="rect">
                            <a:avLst/>
                          </a:prstGeom>
                          <a:noFill/>
                          <a:ln>
                            <a:noFill/>
                          </a:ln>
                        </pic:spPr>
                      </pic:pic>
                    </a:graphicData>
                  </a:graphic>
                </wp:inline>
              </w:drawing>
            </w:r>
          </w:p>
          <w:p>
            <w:pPr>
              <w:spacing w:line="360" w:lineRule="auto"/>
              <w:ind w:firstLine="480" w:firstLineChars="200"/>
              <w:rPr>
                <w:rFonts w:cs="Times New Roman"/>
                <w:szCs w:val="24"/>
              </w:rPr>
            </w:pPr>
            <w:r>
              <w:rPr>
                <w:rFonts w:cs="Times New Roman"/>
                <w:szCs w:val="24"/>
              </w:rPr>
              <w:t>式中：Leqg——建设项目声源在预测点的等效连续A声级贡献值，dB（A）；</w:t>
            </w:r>
          </w:p>
          <w:p>
            <w:pPr>
              <w:spacing w:line="360" w:lineRule="auto"/>
              <w:ind w:firstLine="1200" w:firstLineChars="500"/>
              <w:outlineLvl w:val="0"/>
              <w:rPr>
                <w:rFonts w:cs="Times New Roman"/>
                <w:szCs w:val="24"/>
              </w:rPr>
            </w:pPr>
            <w:r>
              <w:rPr>
                <w:rFonts w:cs="Times New Roman"/>
                <w:szCs w:val="24"/>
              </w:rPr>
              <w:t>LAi-i——声源在预测点产生的A声级，dB（A）；</w:t>
            </w:r>
          </w:p>
          <w:p>
            <w:pPr>
              <w:spacing w:line="360" w:lineRule="auto"/>
              <w:ind w:firstLine="1200" w:firstLineChars="500"/>
              <w:rPr>
                <w:rFonts w:cs="Times New Roman"/>
                <w:szCs w:val="24"/>
              </w:rPr>
            </w:pPr>
            <w:r>
              <w:rPr>
                <w:rFonts w:cs="Times New Roman"/>
                <w:szCs w:val="24"/>
              </w:rPr>
              <w:t>T——预测计算的时间段，S；</w:t>
            </w:r>
          </w:p>
          <w:p>
            <w:pPr>
              <w:spacing w:line="360" w:lineRule="auto"/>
              <w:ind w:firstLine="1200" w:firstLineChars="500"/>
              <w:rPr>
                <w:rFonts w:cs="Times New Roman"/>
                <w:szCs w:val="24"/>
              </w:rPr>
            </w:pPr>
            <w:r>
              <w:rPr>
                <w:rFonts w:cs="Times New Roman"/>
                <w:szCs w:val="24"/>
              </w:rPr>
              <w:t>Ti-i——声源在T时段内的运行时间。</w:t>
            </w:r>
          </w:p>
          <w:p>
            <w:pPr>
              <w:keepNext/>
              <w:spacing w:line="360" w:lineRule="auto"/>
              <w:ind w:firstLine="480" w:firstLineChars="200"/>
              <w:rPr>
                <w:rFonts w:cs="Times New Roman"/>
                <w:szCs w:val="24"/>
              </w:rPr>
            </w:pPr>
            <w:r>
              <w:rPr>
                <w:rFonts w:cs="Times New Roman"/>
                <w:szCs w:val="24"/>
              </w:rPr>
              <w:t>（3）预测结果</w:t>
            </w:r>
          </w:p>
          <w:p>
            <w:pPr>
              <w:spacing w:line="360" w:lineRule="auto"/>
              <w:ind w:firstLine="480" w:firstLineChars="200"/>
              <w:rPr>
                <w:rFonts w:cs="Times New Roman"/>
                <w:szCs w:val="24"/>
              </w:rPr>
            </w:pPr>
            <w:r>
              <w:rPr>
                <w:rFonts w:cs="Times New Roman"/>
              </w:rPr>
              <w:t>预测</w:t>
            </w:r>
            <w:r>
              <w:rPr>
                <w:rFonts w:cs="Times New Roman"/>
                <w:szCs w:val="24"/>
              </w:rPr>
              <w:t>结果见下表所示。</w:t>
            </w:r>
          </w:p>
          <w:p>
            <w:pPr>
              <w:keepNext/>
              <w:ind w:firstLine="422" w:firstLineChars="200"/>
              <w:jc w:val="center"/>
              <w:rPr>
                <w:rFonts w:cs="Times New Roman"/>
                <w:b/>
                <w:sz w:val="21"/>
              </w:rPr>
            </w:pPr>
            <w:r>
              <w:rPr>
                <w:rFonts w:cs="Times New Roman"/>
                <w:b/>
                <w:sz w:val="21"/>
              </w:rPr>
              <w:t>表7.2-</w:t>
            </w:r>
            <w:r>
              <w:rPr>
                <w:rFonts w:hint="eastAsia" w:cs="Times New Roman"/>
                <w:b/>
                <w:sz w:val="21"/>
              </w:rPr>
              <w:t>20</w:t>
            </w:r>
            <w:r>
              <w:rPr>
                <w:rFonts w:cs="Times New Roman"/>
                <w:b/>
                <w:sz w:val="21"/>
              </w:rPr>
              <w:t xml:space="preserve">  厂界噪声预测值</w:t>
            </w:r>
          </w:p>
          <w:tbl>
            <w:tblPr>
              <w:tblStyle w:val="3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1145"/>
              <w:gridCol w:w="503"/>
              <w:gridCol w:w="800"/>
              <w:gridCol w:w="730"/>
              <w:gridCol w:w="735"/>
              <w:gridCol w:w="727"/>
              <w:gridCol w:w="735"/>
              <w:gridCol w:w="725"/>
              <w:gridCol w:w="737"/>
              <w:gridCol w:w="726"/>
              <w:gridCol w:w="7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690" w:type="pct"/>
                  <w:vMerge w:val="restart"/>
                  <w:tcBorders>
                    <w:top w:val="single" w:color="auto" w:sz="6" w:space="0"/>
                    <w:left w:val="single" w:color="auto" w:sz="6" w:space="0"/>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噪声源</w:t>
                  </w:r>
                </w:p>
              </w:tc>
              <w:tc>
                <w:tcPr>
                  <w:tcW w:w="303" w:type="pct"/>
                  <w:vMerge w:val="restar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数量</w:t>
                  </w:r>
                </w:p>
              </w:tc>
              <w:tc>
                <w:tcPr>
                  <w:tcW w:w="481" w:type="pct"/>
                  <w:vMerge w:val="restar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治理后声级dB(A)</w:t>
                  </w:r>
                </w:p>
              </w:tc>
              <w:tc>
                <w:tcPr>
                  <w:tcW w:w="883"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厂界东</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厂界南</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厂界西</w:t>
                  </w:r>
                </w:p>
              </w:tc>
              <w:tc>
                <w:tcPr>
                  <w:tcW w:w="877"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厂界北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690" w:type="pct"/>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cs="Times New Roman"/>
                      <w:color w:val="000000" w:themeColor="text1"/>
                      <w:sz w:val="21"/>
                    </w:rPr>
                  </w:pPr>
                </w:p>
              </w:tc>
              <w:tc>
                <w:tcPr>
                  <w:tcW w:w="303"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cs="Times New Roman"/>
                      <w:color w:val="000000" w:themeColor="text1"/>
                      <w:sz w:val="21"/>
                    </w:rPr>
                  </w:pPr>
                </w:p>
              </w:tc>
              <w:tc>
                <w:tcPr>
                  <w:tcW w:w="481" w:type="pct"/>
                  <w:vMerge w:val="continue"/>
                  <w:tcBorders>
                    <w:top w:val="single" w:color="auto" w:sz="6" w:space="0"/>
                    <w:left w:val="nil"/>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snapToGrid/>
                    <w:jc w:val="center"/>
                    <w:textAlignment w:val="auto"/>
                    <w:rPr>
                      <w:rFonts w:cs="Times New Roman"/>
                      <w:color w:val="000000" w:themeColor="text1"/>
                      <w:sz w:val="21"/>
                    </w:rPr>
                  </w:pP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距离</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贡献值</w:t>
                  </w:r>
                </w:p>
              </w:tc>
              <w:tc>
                <w:tcPr>
                  <w:tcW w:w="438"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距离</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贡献值</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距离</w:t>
                  </w:r>
                </w:p>
              </w:tc>
              <w:tc>
                <w:tcPr>
                  <w:tcW w:w="444"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贡献值</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距离</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贡献值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bCs/>
                      <w:color w:val="000000" w:themeColor="text1"/>
                      <w:kern w:val="0"/>
                      <w:sz w:val="21"/>
                    </w:rPr>
                    <w:t>砼生产线</w:t>
                  </w:r>
                </w:p>
              </w:tc>
              <w:tc>
                <w:tcPr>
                  <w:tcW w:w="303"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2套</w:t>
                  </w:r>
                </w:p>
              </w:tc>
              <w:tc>
                <w:tcPr>
                  <w:tcW w:w="481"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70</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33.1</w:t>
                  </w:r>
                </w:p>
              </w:tc>
              <w:tc>
                <w:tcPr>
                  <w:tcW w:w="438"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30.9</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55m</w:t>
                  </w:r>
                </w:p>
              </w:tc>
              <w:tc>
                <w:tcPr>
                  <w:tcW w:w="444"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35.2</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94m</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bCs/>
                      <w:color w:val="000000" w:themeColor="text1"/>
                      <w:kern w:val="0"/>
                      <w:sz w:val="21"/>
                    </w:rPr>
                    <w:t>地磅</w:t>
                  </w:r>
                </w:p>
              </w:tc>
              <w:tc>
                <w:tcPr>
                  <w:tcW w:w="303"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1台</w:t>
                  </w:r>
                </w:p>
              </w:tc>
              <w:tc>
                <w:tcPr>
                  <w:tcW w:w="481"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65</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117m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23.6</w:t>
                  </w:r>
                </w:p>
              </w:tc>
              <w:tc>
                <w:tcPr>
                  <w:tcW w:w="438"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140m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22</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70m</w:t>
                  </w:r>
                </w:p>
              </w:tc>
              <w:tc>
                <w:tcPr>
                  <w:tcW w:w="444"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28</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85m</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bCs/>
                      <w:color w:val="000000" w:themeColor="text1"/>
                      <w:kern w:val="0"/>
                      <w:sz w:val="21"/>
                    </w:rPr>
                    <w:t>装载机</w:t>
                  </w:r>
                </w:p>
              </w:tc>
              <w:tc>
                <w:tcPr>
                  <w:tcW w:w="303"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2台</w:t>
                  </w:r>
                </w:p>
              </w:tc>
              <w:tc>
                <w:tcPr>
                  <w:tcW w:w="481"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60</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23</w:t>
                  </w:r>
                </w:p>
              </w:tc>
              <w:tc>
                <w:tcPr>
                  <w:tcW w:w="438"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20.9</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55m</w:t>
                  </w:r>
                </w:p>
              </w:tc>
              <w:tc>
                <w:tcPr>
                  <w:tcW w:w="444"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25.2</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94m</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690"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洗车机</w:t>
                  </w:r>
                </w:p>
              </w:tc>
              <w:tc>
                <w:tcPr>
                  <w:tcW w:w="303"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1套</w:t>
                  </w:r>
                </w:p>
              </w:tc>
              <w:tc>
                <w:tcPr>
                  <w:tcW w:w="481"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50</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23.9</w:t>
                  </w:r>
                </w:p>
              </w:tc>
              <w:tc>
                <w:tcPr>
                  <w:tcW w:w="438"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90m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10.9</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95m</w:t>
                  </w:r>
                </w:p>
              </w:tc>
              <w:tc>
                <w:tcPr>
                  <w:tcW w:w="444"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10.4</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96m</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10.4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690" w:type="pct"/>
                  <w:tcBorders>
                    <w:top w:val="single" w:color="auto" w:sz="6" w:space="0"/>
                    <w:left w:val="single" w:color="auto" w:sz="6" w:space="0"/>
                    <w:bottom w:val="single" w:color="auto" w:sz="6" w:space="0"/>
                    <w:right w:val="single" w:color="auto" w:sz="6" w:space="0"/>
                  </w:tcBorders>
                  <w:vAlign w:val="center"/>
                </w:tcPr>
                <w:p>
                  <w:pPr>
                    <w:pStyle w:val="82"/>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砂石分离机</w:t>
                  </w:r>
                </w:p>
              </w:tc>
              <w:tc>
                <w:tcPr>
                  <w:tcW w:w="303"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color w:val="000000" w:themeColor="text1"/>
                      <w:sz w:val="21"/>
                    </w:rPr>
                  </w:pPr>
                  <w:r>
                    <w:rPr>
                      <w:rFonts w:cs="Times New Roman"/>
                      <w:color w:val="000000" w:themeColor="text1"/>
                      <w:sz w:val="21"/>
                    </w:rPr>
                    <w:t>1套</w:t>
                  </w:r>
                </w:p>
              </w:tc>
              <w:tc>
                <w:tcPr>
                  <w:tcW w:w="481"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70</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20m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43.9</w:t>
                  </w:r>
                </w:p>
              </w:tc>
              <w:tc>
                <w:tcPr>
                  <w:tcW w:w="438"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91m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30.8</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93m</w:t>
                  </w:r>
                </w:p>
              </w:tc>
              <w:tc>
                <w:tcPr>
                  <w:tcW w:w="444"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30.6</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92m</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690" w:type="pct"/>
                  <w:tcBorders>
                    <w:top w:val="single" w:color="auto" w:sz="6" w:space="0"/>
                    <w:left w:val="single" w:color="auto" w:sz="6" w:space="0"/>
                    <w:bottom w:val="single" w:color="auto" w:sz="6" w:space="0"/>
                    <w:right w:val="single" w:color="auto" w:sz="6" w:space="0"/>
                  </w:tcBorders>
                  <w:vAlign w:val="center"/>
                </w:tcPr>
                <w:p>
                  <w:pPr>
                    <w:pStyle w:val="82"/>
                    <w:keepNext w:val="0"/>
                    <w:keepLines w:val="0"/>
                    <w:pageBreakBefore w:val="0"/>
                    <w:kinsoku/>
                    <w:wordWrap/>
                    <w:overflowPunct/>
                    <w:topLinePunct w:val="0"/>
                    <w:autoSpaceDE/>
                    <w:autoSpaceDN/>
                    <w:bidi w:val="0"/>
                    <w:adjustRightInd/>
                    <w:snapToGrid/>
                    <w:jc w:val="center"/>
                    <w:textAlignment w:val="auto"/>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低压打料系统</w:t>
                  </w:r>
                </w:p>
              </w:tc>
              <w:tc>
                <w:tcPr>
                  <w:tcW w:w="303"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color w:val="000000" w:themeColor="text1"/>
                      <w:sz w:val="21"/>
                    </w:rPr>
                  </w:pPr>
                  <w:r>
                    <w:rPr>
                      <w:rFonts w:cs="Times New Roman"/>
                      <w:color w:val="000000" w:themeColor="text1"/>
                      <w:sz w:val="21"/>
                    </w:rPr>
                    <w:t>1套</w:t>
                  </w:r>
                </w:p>
              </w:tc>
              <w:tc>
                <w:tcPr>
                  <w:tcW w:w="481" w:type="pct"/>
                  <w:tcBorders>
                    <w:top w:val="single" w:color="auto" w:sz="6" w:space="0"/>
                    <w:left w:val="nil"/>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textAlignment w:val="auto"/>
                    <w:rPr>
                      <w:rFonts w:cs="Times New Roman"/>
                      <w:color w:val="000000" w:themeColor="text1"/>
                      <w:sz w:val="21"/>
                    </w:rPr>
                  </w:pPr>
                  <w:r>
                    <w:rPr>
                      <w:rFonts w:cs="Times New Roman"/>
                      <w:color w:val="000000" w:themeColor="text1"/>
                      <w:sz w:val="21"/>
                    </w:rPr>
                    <w:t>60</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37m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28.6</w:t>
                  </w:r>
                </w:p>
              </w:tc>
              <w:tc>
                <w:tcPr>
                  <w:tcW w:w="438"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87m</w:t>
                  </w:r>
                </w:p>
              </w:tc>
              <w:tc>
                <w:tcPr>
                  <w:tcW w:w="443"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21.2</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75m</w:t>
                  </w:r>
                </w:p>
              </w:tc>
              <w:tc>
                <w:tcPr>
                  <w:tcW w:w="444"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22.5</w:t>
                  </w:r>
                </w:p>
              </w:tc>
              <w:tc>
                <w:tcPr>
                  <w:tcW w:w="437"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63m</w:t>
                  </w:r>
                </w:p>
              </w:tc>
              <w:tc>
                <w:tcPr>
                  <w:tcW w:w="440" w:type="pct"/>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475" w:type="pct"/>
                  <w:gridSpan w:val="3"/>
                  <w:tcBorders>
                    <w:top w:val="single" w:color="auto" w:sz="6" w:space="0"/>
                    <w:left w:val="single" w:color="auto" w:sz="6" w:space="0"/>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昼间</w:t>
                  </w:r>
                  <w:r>
                    <w:rPr>
                      <w:rFonts w:ascii="Times New Roman" w:hAnsi="Times New Roman" w:eastAsiaTheme="minorEastAsia"/>
                      <w:color w:val="000000" w:themeColor="text1"/>
                      <w:szCs w:val="21"/>
                    </w:rPr>
                    <w:t>叠加贡献值dB（A）</w:t>
                  </w:r>
                </w:p>
              </w:tc>
              <w:tc>
                <w:tcPr>
                  <w:tcW w:w="883"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44.44</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34.54</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37.48</w:t>
                  </w:r>
                </w:p>
              </w:tc>
              <w:tc>
                <w:tcPr>
                  <w:tcW w:w="877"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475" w:type="pct"/>
                  <w:gridSpan w:val="3"/>
                  <w:tcBorders>
                    <w:top w:val="single" w:color="auto" w:sz="6" w:space="0"/>
                    <w:left w:val="single" w:color="auto" w:sz="6" w:space="0"/>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标准值</w:t>
                  </w:r>
                  <w:r>
                    <w:rPr>
                      <w:rFonts w:ascii="Times New Roman" w:hAnsi="Times New Roman" w:eastAsiaTheme="minorEastAsia"/>
                      <w:color w:val="000000" w:themeColor="text1"/>
                      <w:szCs w:val="21"/>
                    </w:rPr>
                    <w:t>dB（A）</w:t>
                  </w:r>
                </w:p>
              </w:tc>
              <w:tc>
                <w:tcPr>
                  <w:tcW w:w="883"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≤65</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≤65</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≤65</w:t>
                  </w:r>
                </w:p>
              </w:tc>
              <w:tc>
                <w:tcPr>
                  <w:tcW w:w="877"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475" w:type="pct"/>
                  <w:gridSpan w:val="3"/>
                  <w:tcBorders>
                    <w:top w:val="single" w:color="auto" w:sz="6" w:space="0"/>
                    <w:left w:val="single" w:color="auto" w:sz="6" w:space="0"/>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夜间贡献值</w:t>
                  </w:r>
                  <w:r>
                    <w:rPr>
                      <w:rFonts w:ascii="Times New Roman" w:hAnsi="Times New Roman" w:eastAsiaTheme="minorEastAsia"/>
                      <w:color w:val="000000" w:themeColor="text1"/>
                      <w:szCs w:val="21"/>
                    </w:rPr>
                    <w:t>dB（A）</w:t>
                  </w:r>
                </w:p>
              </w:tc>
              <w:tc>
                <w:tcPr>
                  <w:tcW w:w="1465" w:type="dxa"/>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44.44</w:t>
                  </w:r>
                </w:p>
              </w:tc>
              <w:tc>
                <w:tcPr>
                  <w:tcW w:w="1462" w:type="dxa"/>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34.54</w:t>
                  </w:r>
                </w:p>
              </w:tc>
              <w:tc>
                <w:tcPr>
                  <w:tcW w:w="1462" w:type="dxa"/>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37.48</w:t>
                  </w:r>
                </w:p>
              </w:tc>
              <w:tc>
                <w:tcPr>
                  <w:tcW w:w="1457" w:type="dxa"/>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34.9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475" w:type="pct"/>
                  <w:gridSpan w:val="3"/>
                  <w:tcBorders>
                    <w:top w:val="single" w:color="auto" w:sz="6" w:space="0"/>
                    <w:left w:val="single" w:color="auto" w:sz="6" w:space="0"/>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标准值</w:t>
                  </w:r>
                  <w:r>
                    <w:rPr>
                      <w:rFonts w:ascii="Times New Roman" w:hAnsi="Times New Roman" w:eastAsiaTheme="minorEastAsia"/>
                      <w:color w:val="000000" w:themeColor="text1"/>
                      <w:szCs w:val="21"/>
                    </w:rPr>
                    <w:t>dB（A）</w:t>
                  </w:r>
                </w:p>
              </w:tc>
              <w:tc>
                <w:tcPr>
                  <w:tcW w:w="883"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c>
                <w:tcPr>
                  <w:tcW w:w="877"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475" w:type="pct"/>
                  <w:gridSpan w:val="3"/>
                  <w:tcBorders>
                    <w:top w:val="single" w:color="auto" w:sz="6" w:space="0"/>
                    <w:left w:val="single" w:color="auto" w:sz="6" w:space="0"/>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hint="eastAsia" w:ascii="Times New Roman" w:hAnsi="宋体"/>
                      <w:color w:val="000000" w:themeColor="text1"/>
                      <w:szCs w:val="21"/>
                    </w:rPr>
                    <w:t>项目西北侧70m两户居民</w:t>
                  </w:r>
                </w:p>
              </w:tc>
              <w:tc>
                <w:tcPr>
                  <w:tcW w:w="883"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58.1</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56.21</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56.57</w:t>
                  </w:r>
                </w:p>
              </w:tc>
              <w:tc>
                <w:tcPr>
                  <w:tcW w:w="877"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hint="eastAsia" w:ascii="Times New Roman" w:hAnsi="Times New Roman" w:eastAsiaTheme="minorEastAsia"/>
                      <w:color w:val="000000" w:themeColor="text1"/>
                      <w:szCs w:val="21"/>
                    </w:rPr>
                    <w:t>56.87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482" w:hRule="atLeast"/>
                <w:jc w:val="center"/>
              </w:trPr>
              <w:tc>
                <w:tcPr>
                  <w:tcW w:w="1475" w:type="pct"/>
                  <w:gridSpan w:val="3"/>
                  <w:tcBorders>
                    <w:top w:val="single" w:color="auto" w:sz="6" w:space="0"/>
                    <w:left w:val="single" w:color="auto" w:sz="6" w:space="0"/>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是否达标</w:t>
                  </w:r>
                </w:p>
              </w:tc>
              <w:tc>
                <w:tcPr>
                  <w:tcW w:w="883"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达标</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达标</w:t>
                  </w:r>
                </w:p>
              </w:tc>
              <w:tc>
                <w:tcPr>
                  <w:tcW w:w="881"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达标</w:t>
                  </w:r>
                </w:p>
              </w:tc>
              <w:tc>
                <w:tcPr>
                  <w:tcW w:w="877" w:type="pct"/>
                  <w:gridSpan w:val="2"/>
                  <w:tcBorders>
                    <w:top w:val="single" w:color="auto" w:sz="6" w:space="0"/>
                    <w:left w:val="nil"/>
                    <w:bottom w:val="single" w:color="auto" w:sz="6" w:space="0"/>
                    <w:right w:val="single" w:color="auto" w:sz="6" w:space="0"/>
                  </w:tcBorders>
                  <w:vAlign w:val="center"/>
                </w:tcPr>
                <w:p>
                  <w:pPr>
                    <w:pStyle w:val="121"/>
                    <w:keepNext w:val="0"/>
                    <w:keepLines w:val="0"/>
                    <w:pageBreakBefore w:val="0"/>
                    <w:kinsoku/>
                    <w:wordWrap/>
                    <w:overflowPunct/>
                    <w:topLinePunct w:val="0"/>
                    <w:autoSpaceDE/>
                    <w:autoSpaceDN/>
                    <w:bidi w:val="0"/>
                    <w:adjustRightInd/>
                    <w:snapToGrid/>
                    <w:textAlignment w:val="auto"/>
                    <w:rPr>
                      <w:rFonts w:ascii="Times New Roman" w:hAnsi="Times New Roman" w:eastAsiaTheme="minorEastAsia"/>
                      <w:color w:val="000000" w:themeColor="text1"/>
                      <w:szCs w:val="21"/>
                    </w:rPr>
                  </w:pPr>
                  <w:r>
                    <w:rPr>
                      <w:rFonts w:ascii="Times New Roman" w:hAnsi="Times New Roman" w:eastAsiaTheme="minorEastAsia"/>
                      <w:color w:val="000000" w:themeColor="text1"/>
                      <w:szCs w:val="21"/>
                    </w:rPr>
                    <w:t>达标</w:t>
                  </w:r>
                </w:p>
              </w:tc>
            </w:tr>
          </w:tbl>
          <w:p>
            <w:pPr>
              <w:adjustRightInd w:val="0"/>
              <w:snapToGrid w:val="0"/>
              <w:spacing w:line="360" w:lineRule="auto"/>
              <w:ind w:firstLine="480" w:firstLineChars="200"/>
              <w:rPr>
                <w:rFonts w:cs="Times New Roman"/>
              </w:rPr>
            </w:pPr>
            <w:r>
              <w:rPr>
                <w:rFonts w:cs="Times New Roman"/>
                <w:color w:val="000000" w:themeColor="text1"/>
                <w:szCs w:val="24"/>
              </w:rPr>
              <w:t>由上表预测可知，项目采取合理的措施后，噪声源对四周厂界噪声贡献值较小，厂界</w:t>
            </w:r>
            <w:r>
              <w:rPr>
                <w:rFonts w:hint="eastAsia" w:cs="Times New Roman"/>
                <w:color w:val="000000" w:themeColor="text1"/>
                <w:szCs w:val="24"/>
              </w:rPr>
              <w:t>西面、南方和东面昼间和夜间</w:t>
            </w:r>
            <w:r>
              <w:rPr>
                <w:rFonts w:cs="Times New Roman"/>
                <w:color w:val="000000" w:themeColor="text1"/>
                <w:szCs w:val="24"/>
              </w:rPr>
              <w:t>噪声排放</w:t>
            </w:r>
            <w:r>
              <w:rPr>
                <w:rFonts w:hint="eastAsia" w:cs="Times New Roman"/>
                <w:color w:val="000000" w:themeColor="text1"/>
                <w:szCs w:val="24"/>
              </w:rPr>
              <w:t>可</w:t>
            </w:r>
            <w:r>
              <w:rPr>
                <w:rFonts w:cs="Times New Roman"/>
                <w:color w:val="000000" w:themeColor="text1"/>
                <w:szCs w:val="24"/>
              </w:rPr>
              <w:t>满足《工业企业厂界环境噪声排放标准》（GB12348-2008）中的3类标准要求</w:t>
            </w:r>
            <w:r>
              <w:rPr>
                <w:rFonts w:hint="eastAsia" w:cs="Times New Roman"/>
                <w:color w:val="000000" w:themeColor="text1"/>
                <w:szCs w:val="24"/>
              </w:rPr>
              <w:t>，厂界北面</w:t>
            </w:r>
            <w:r>
              <w:rPr>
                <w:rFonts w:cs="Times New Roman"/>
                <w:color w:val="000000" w:themeColor="text1"/>
                <w:szCs w:val="24"/>
              </w:rPr>
              <w:t>噪声排放</w:t>
            </w:r>
            <w:r>
              <w:rPr>
                <w:rFonts w:hint="eastAsia" w:cs="Times New Roman"/>
                <w:color w:val="000000" w:themeColor="text1"/>
                <w:szCs w:val="24"/>
              </w:rPr>
              <w:t>满足</w:t>
            </w:r>
            <w:r>
              <w:rPr>
                <w:rFonts w:cs="Times New Roman"/>
                <w:color w:val="000000" w:themeColor="text1"/>
                <w:szCs w:val="24"/>
              </w:rPr>
              <w:t>《工业企业厂界环境噪声排放标准》（GB12348-2008）中的4a类</w:t>
            </w:r>
            <w:r>
              <w:rPr>
                <w:rFonts w:hint="eastAsia" w:cs="Times New Roman"/>
                <w:color w:val="000000" w:themeColor="text1"/>
                <w:szCs w:val="24"/>
              </w:rPr>
              <w:t>标准要求</w:t>
            </w:r>
            <w:r>
              <w:rPr>
                <w:rFonts w:cs="Times New Roman"/>
                <w:color w:val="000000" w:themeColor="text1"/>
                <w:szCs w:val="24"/>
              </w:rPr>
              <w:t>。项目西北侧70m两户居民</w:t>
            </w:r>
            <w:r>
              <w:rPr>
                <w:rFonts w:hint="eastAsia" w:cs="Times New Roman"/>
                <w:color w:val="000000" w:themeColor="text1"/>
                <w:szCs w:val="24"/>
              </w:rPr>
              <w:t>噪声预测值可满足</w:t>
            </w:r>
            <w:r>
              <w:rPr>
                <w:rFonts w:cs="Times New Roman"/>
              </w:rPr>
              <w:t>《声环境质量标准》（GB3096—2008）中的</w:t>
            </w:r>
            <w:r>
              <w:rPr>
                <w:rFonts w:hint="eastAsia" w:cs="Times New Roman"/>
              </w:rPr>
              <w:t>2</w:t>
            </w:r>
            <w:r>
              <w:rPr>
                <w:rFonts w:cs="Times New Roman"/>
              </w:rPr>
              <w:t>类标准要求</w:t>
            </w:r>
            <w:r>
              <w:rPr>
                <w:rFonts w:hint="eastAsia" w:cs="Times New Roman"/>
              </w:rPr>
              <w:t>。</w:t>
            </w:r>
            <w:r>
              <w:rPr>
                <w:rFonts w:hint="eastAsia" w:hAnsi="宋体" w:cs="Times New Roman"/>
                <w:color w:val="000000"/>
                <w:szCs w:val="24"/>
              </w:rPr>
              <w:t>本项目建议夜间车辆运输路线尽量远离敏感点，车辆经过敏感点时应低速、禁鸣。加强现场运输车辆出入的管理，车辆进入现场禁止鸣笛，不得随意扔、丢，减少金属件的碰击声。</w:t>
            </w:r>
          </w:p>
          <w:p>
            <w:pPr>
              <w:pStyle w:val="113"/>
              <w:spacing w:before="0" w:line="360" w:lineRule="auto"/>
              <w:ind w:firstLine="480"/>
              <w:rPr>
                <w:rFonts w:ascii="Times New Roman" w:hAnsi="Times New Roman" w:cs="Times New Roman"/>
                <w:color w:val="000000" w:themeColor="text1"/>
              </w:rPr>
            </w:pPr>
            <w:r>
              <w:rPr>
                <w:rFonts w:ascii="Times New Roman" w:hAnsi="Times New Roman" w:cs="Times New Roman"/>
                <w:color w:val="000000" w:themeColor="text1"/>
              </w:rPr>
              <w:t>综上所述，本项目噪声对周围环境影响较小。</w:t>
            </w:r>
          </w:p>
          <w:p>
            <w:pPr>
              <w:pStyle w:val="7"/>
              <w:rPr>
                <w:rFonts w:cs="Times New Roman" w:eastAsiaTheme="minorEastAsia"/>
              </w:rPr>
            </w:pPr>
            <w:r>
              <w:rPr>
                <w:rFonts w:cs="Times New Roman" w:eastAsiaTheme="minorEastAsia"/>
              </w:rPr>
              <w:t>营运期固体废物影响分析</w:t>
            </w:r>
          </w:p>
          <w:p>
            <w:pPr>
              <w:spacing w:line="360" w:lineRule="auto"/>
              <w:ind w:firstLine="480" w:firstLineChars="200"/>
              <w:rPr>
                <w:rFonts w:cs="Times New Roman"/>
                <w:color w:val="000000" w:themeColor="text1"/>
                <w:szCs w:val="24"/>
              </w:rPr>
            </w:pPr>
            <w:r>
              <w:rPr>
                <w:rFonts w:cs="Times New Roman"/>
                <w:color w:val="000000" w:themeColor="text1"/>
                <w:szCs w:val="24"/>
              </w:rPr>
              <w:t>（1）生活垃圾</w:t>
            </w:r>
          </w:p>
          <w:p>
            <w:pPr>
              <w:spacing w:line="360" w:lineRule="auto"/>
              <w:ind w:firstLine="480" w:firstLineChars="200"/>
              <w:rPr>
                <w:rFonts w:cs="Times New Roman"/>
                <w:color w:val="000000" w:themeColor="text1"/>
                <w:szCs w:val="24"/>
              </w:rPr>
            </w:pPr>
            <w:r>
              <w:rPr>
                <w:rFonts w:cs="Times New Roman"/>
                <w:color w:val="000000" w:themeColor="text1"/>
                <w:szCs w:val="24"/>
              </w:rPr>
              <w:t>项目生活垃圾交由环卫部门清运，做到日产日清。根据平面布局，项目生活垃圾经垃圾桶收集后交由环卫部门清运。</w:t>
            </w:r>
          </w:p>
          <w:p>
            <w:pPr>
              <w:spacing w:line="360" w:lineRule="auto"/>
              <w:ind w:firstLine="480" w:firstLineChars="200"/>
              <w:rPr>
                <w:rFonts w:cs="Times New Roman"/>
                <w:color w:val="000000" w:themeColor="text1"/>
                <w:szCs w:val="24"/>
              </w:rPr>
            </w:pPr>
            <w:r>
              <w:rPr>
                <w:rFonts w:cs="Times New Roman"/>
                <w:color w:val="000000" w:themeColor="text1"/>
                <w:szCs w:val="24"/>
              </w:rPr>
              <w:t>（2）一般工业固废</w:t>
            </w:r>
          </w:p>
          <w:p>
            <w:pPr>
              <w:keepNext/>
              <w:spacing w:line="360" w:lineRule="auto"/>
              <w:ind w:firstLine="480" w:firstLineChars="200"/>
              <w:rPr>
                <w:rFonts w:cs="Times New Roman"/>
                <w:color w:val="000000" w:themeColor="text1"/>
                <w:szCs w:val="24"/>
              </w:rPr>
            </w:pPr>
            <w:r>
              <w:rPr>
                <w:rFonts w:cs="Times New Roman"/>
                <w:color w:val="000000" w:themeColor="text1"/>
                <w:szCs w:val="24"/>
              </w:rPr>
              <w:t>①除尘设备收集的粉尘</w:t>
            </w:r>
          </w:p>
          <w:p>
            <w:pPr>
              <w:spacing w:line="360" w:lineRule="auto"/>
              <w:ind w:firstLine="480" w:firstLineChars="200"/>
              <w:rPr>
                <w:rFonts w:cs="Times New Roman"/>
                <w:color w:val="000000" w:themeColor="text1"/>
              </w:rPr>
            </w:pPr>
            <w:r>
              <w:rPr>
                <w:rFonts w:cs="Times New Roman"/>
                <w:color w:val="000000" w:themeColor="text1"/>
              </w:rPr>
              <w:t>根据工程分析计算可知，项目在搅拌机和筒仓工序收集的粉尘量约为310.3t/a，均回用于生产。</w:t>
            </w:r>
          </w:p>
          <w:p>
            <w:pPr>
              <w:spacing w:line="360" w:lineRule="auto"/>
              <w:ind w:firstLine="480" w:firstLineChars="200"/>
              <w:rPr>
                <w:rFonts w:cs="Times New Roman"/>
                <w:color w:val="000000" w:themeColor="text1"/>
              </w:rPr>
            </w:pPr>
            <w:r>
              <w:rPr>
                <w:rFonts w:cs="Times New Roman"/>
                <w:color w:val="000000" w:themeColor="text1"/>
              </w:rPr>
              <w:t>②砂石分离机分离后的砂石</w:t>
            </w:r>
          </w:p>
          <w:p>
            <w:pPr>
              <w:spacing w:line="360" w:lineRule="auto"/>
              <w:ind w:firstLine="480" w:firstLineChars="200"/>
              <w:rPr>
                <w:rFonts w:cs="Times New Roman"/>
                <w:color w:val="000000" w:themeColor="text1"/>
              </w:rPr>
            </w:pPr>
            <w:r>
              <w:rPr>
                <w:rFonts w:cs="Times New Roman"/>
                <w:color w:val="000000" w:themeColor="text1"/>
              </w:rPr>
              <w:t>砂石分离机处理项目部分清洗废水和废料时会产生砂石，根据建设单位提供的资料及类比同类项目可知，预计产生量约为</w:t>
            </w:r>
            <w:r>
              <w:rPr>
                <w:rFonts w:hint="eastAsia" w:cs="Times New Roman"/>
                <w:color w:val="000000" w:themeColor="text1"/>
              </w:rPr>
              <w:t>900</w:t>
            </w:r>
            <w:r>
              <w:rPr>
                <w:rFonts w:cs="Times New Roman"/>
                <w:color w:val="000000" w:themeColor="text1"/>
              </w:rPr>
              <w:t>t/a，全部回用于生产，不外排。</w:t>
            </w:r>
          </w:p>
          <w:p>
            <w:pPr>
              <w:spacing w:line="360" w:lineRule="auto"/>
              <w:ind w:firstLine="480" w:firstLineChars="200"/>
              <w:rPr>
                <w:rFonts w:cs="Times New Roman"/>
                <w:color w:val="000000" w:themeColor="text1"/>
              </w:rPr>
            </w:pPr>
            <w:r>
              <w:rPr>
                <w:rFonts w:cs="Times New Roman"/>
                <w:color w:val="000000" w:themeColor="text1"/>
              </w:rPr>
              <w:t>③沉淀池沉淀泥沙</w:t>
            </w:r>
          </w:p>
          <w:p>
            <w:pPr>
              <w:spacing w:line="360" w:lineRule="auto"/>
              <w:ind w:firstLine="480" w:firstLineChars="200"/>
              <w:rPr>
                <w:rFonts w:cs="Times New Roman"/>
                <w:color w:val="000000" w:themeColor="text1"/>
              </w:rPr>
            </w:pPr>
            <w:r>
              <w:rPr>
                <w:rFonts w:cs="Times New Roman"/>
                <w:color w:val="000000" w:themeColor="text1"/>
              </w:rPr>
              <w:t>本项目沉淀池产生的沉淀物主要为砂料，沉淀池沉淀物年产生量为</w:t>
            </w:r>
            <w:r>
              <w:rPr>
                <w:rFonts w:hint="eastAsia" w:cs="Times New Roman"/>
                <w:color w:val="000000" w:themeColor="text1"/>
              </w:rPr>
              <w:t>2.27</w:t>
            </w:r>
            <w:r>
              <w:rPr>
                <w:rFonts w:cs="Times New Roman"/>
                <w:color w:val="000000" w:themeColor="text1"/>
              </w:rPr>
              <w:t>t/a。可定期进行清理后返回生产工序进行生产使用。</w:t>
            </w:r>
          </w:p>
          <w:p>
            <w:pPr>
              <w:spacing w:line="360" w:lineRule="auto"/>
              <w:ind w:firstLine="480" w:firstLineChars="200"/>
              <w:rPr>
                <w:rFonts w:cs="Times New Roman"/>
                <w:color w:val="000000" w:themeColor="text1"/>
              </w:rPr>
            </w:pPr>
            <w:r>
              <w:rPr>
                <w:rFonts w:cs="Times New Roman"/>
                <w:color w:val="000000" w:themeColor="text1"/>
              </w:rPr>
              <w:t>④实验废料</w:t>
            </w:r>
          </w:p>
          <w:p>
            <w:pPr>
              <w:spacing w:line="360" w:lineRule="auto"/>
              <w:ind w:firstLine="480" w:firstLineChars="200"/>
              <w:rPr>
                <w:rFonts w:cs="Times New Roman"/>
                <w:color w:val="000000" w:themeColor="text1"/>
              </w:rPr>
            </w:pPr>
            <w:r>
              <w:rPr>
                <w:rFonts w:cs="Times New Roman"/>
                <w:color w:val="000000" w:themeColor="text1"/>
              </w:rPr>
              <w:t>项目每年原料和混凝土实验量为</w:t>
            </w:r>
            <w:r>
              <w:rPr>
                <w:rFonts w:hint="eastAsia" w:cs="Times New Roman"/>
                <w:color w:val="000000" w:themeColor="text1"/>
                <w:lang w:val="en-US" w:eastAsia="zh-CN"/>
              </w:rPr>
              <w:t>500</w:t>
            </w:r>
            <w:r>
              <w:rPr>
                <w:rFonts w:cs="Times New Roman"/>
                <w:color w:val="000000" w:themeColor="text1"/>
              </w:rPr>
              <w:t>t，实验废料送至砂石分离机处理，其中的砂石回收利用，浆液入沉淀池沉淀处理后回用。</w:t>
            </w:r>
          </w:p>
          <w:p>
            <w:pPr>
              <w:pStyle w:val="2"/>
              <w:spacing w:after="0" w:line="360" w:lineRule="auto"/>
              <w:ind w:firstLine="480" w:firstLineChars="200"/>
              <w:rPr>
                <w:rFonts w:eastAsia="宋体"/>
              </w:rPr>
            </w:pPr>
            <w:r>
              <w:rPr>
                <w:rFonts w:hint="eastAsia" w:hAnsi="宋体"/>
                <w:color w:val="000000"/>
              </w:rPr>
              <w:t>水泥搅拌站固废一般为设备、车辆冲洗后的沉淀物，沉淀物成分就是生产原料。本项目建设单位引入混凝土零排放回收设备，可同时治理生产废水及沉淀物，此套设备主要设置</w:t>
            </w:r>
            <w:r>
              <w:rPr>
                <w:rFonts w:hint="eastAsia" w:eastAsia="宋体" w:cs="Times New Roman"/>
                <w:color w:val="000000"/>
                <w:u w:val="single"/>
              </w:rPr>
              <w:t>商混搅拌车自动清洗装置、砂石分离机、旋流器及细沙回收机、一级浆罐、二级浆罐、备用罐、污水泵、搅拌器、管路、阀门及工控P</w:t>
            </w:r>
            <w:r>
              <w:rPr>
                <w:rFonts w:eastAsia="宋体" w:cs="Times New Roman"/>
                <w:color w:val="000000"/>
                <w:u w:val="single"/>
              </w:rPr>
              <w:t>LC</w:t>
            </w:r>
            <w:r>
              <w:rPr>
                <w:rFonts w:hint="eastAsia" w:eastAsia="宋体" w:cs="Times New Roman"/>
                <w:color w:val="000000"/>
                <w:u w:val="single"/>
              </w:rPr>
              <w:t>执行软件等部分组成，实现了智能化、自动化，将刷洗搅拌车清洗水</w:t>
            </w:r>
            <w:r>
              <w:rPr>
                <w:rFonts w:hint="eastAsia" w:cs="Times New Roman"/>
                <w:color w:val="000000"/>
                <w:u w:val="single"/>
              </w:rPr>
              <w:t>等生产废水</w:t>
            </w:r>
            <w:r>
              <w:rPr>
                <w:rFonts w:hint="eastAsia" w:eastAsia="宋体" w:cs="Times New Roman"/>
                <w:color w:val="000000"/>
                <w:u w:val="single"/>
              </w:rPr>
              <w:t>引入系统中，将混凝土浆液分别经砂石分离机中细沙分离机过滤石子、粗砂和细沙，予回收利用，无砂的浆水回收至二级浆罐并输送至储浆罐，其间搅拌楼按试验室配合比添加使用。示意图具体见图7.2-1。</w:t>
            </w:r>
          </w:p>
          <w:p>
            <w:pPr>
              <w:pStyle w:val="2"/>
              <w:spacing w:line="360" w:lineRule="auto"/>
              <w:ind w:firstLine="480" w:firstLineChars="200"/>
            </w:pPr>
            <w:r>
              <w:rPr>
                <w:rFonts w:hint="eastAsia" w:hAnsi="宋体"/>
                <w:color w:val="000000"/>
                <w:u w:val="single"/>
              </w:rPr>
              <w:t>根据《固体废物鉴别标准通则》（</w:t>
            </w:r>
            <w:r>
              <w:rPr>
                <w:rFonts w:hAnsi="宋体"/>
                <w:color w:val="000000"/>
                <w:u w:val="single"/>
              </w:rPr>
              <w:t>GB34330-2017</w:t>
            </w:r>
            <w:r>
              <w:rPr>
                <w:rFonts w:hint="eastAsia" w:hAnsi="宋体"/>
                <w:color w:val="000000"/>
                <w:u w:val="single"/>
              </w:rPr>
              <w:t>）“第</w:t>
            </w:r>
            <w:r>
              <w:rPr>
                <w:rFonts w:hAnsi="宋体"/>
                <w:color w:val="000000"/>
                <w:u w:val="single"/>
              </w:rPr>
              <w:t>6</w:t>
            </w:r>
            <w:r>
              <w:rPr>
                <w:rFonts w:hint="eastAsia" w:hAnsi="宋体"/>
                <w:color w:val="000000"/>
                <w:u w:val="single"/>
              </w:rPr>
              <w:t>条任何不需要修复和</w:t>
            </w:r>
            <w:r>
              <w:rPr>
                <w:rFonts w:hint="eastAsia" w:ascii="宋体" w:hAnsi="宋体" w:eastAsia="宋体" w:cs="宋体"/>
                <w:color w:val="000000"/>
                <w:kern w:val="0"/>
                <w:szCs w:val="24"/>
                <w:u w:val="single"/>
                <w:lang w:bidi="ar"/>
              </w:rPr>
              <w:t>加工即可用于其原始用途的物质，或在产生点经过修复和加工后满足国家、地方制定或行业通行的产品质量标准并且用于其原始用途的物质，不作为固体废物管理。则本项目清洗废水中含有的碎石、粗砂、细沙不作为固体废物管理。</w:t>
            </w:r>
          </w:p>
          <w:p>
            <w:pPr>
              <w:spacing w:line="360" w:lineRule="auto"/>
              <w:ind w:firstLine="480" w:firstLineChars="200"/>
              <w:rPr>
                <w:rFonts w:cs="Times New Roman"/>
                <w:color w:val="000000" w:themeColor="text1"/>
              </w:rPr>
            </w:pPr>
            <w:r>
              <w:rPr>
                <w:rFonts w:hint="eastAsia" w:ascii="宋体" w:hAnsi="宋体" w:eastAsia="宋体" w:cs="宋体"/>
                <w:color w:val="000000" w:themeColor="text1"/>
                <w:kern w:val="0"/>
                <w:szCs w:val="24"/>
              </w:rPr>
              <w:t>⑤</w:t>
            </w:r>
            <w:r>
              <w:rPr>
                <w:rFonts w:cs="Times New Roman"/>
                <w:color w:val="000000" w:themeColor="text1"/>
              </w:rPr>
              <w:t>含油抹布及手套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eastAsiaTheme="minorEastAsia"/>
                <w:lang w:eastAsia="zh-CN"/>
              </w:rPr>
            </w:pPr>
            <w:r>
              <w:rPr>
                <w:rFonts w:cs="Times New Roman"/>
                <w:color w:val="000000" w:themeColor="text1"/>
              </w:rPr>
              <w:t>根据建设单位提供的资料及类比同类型项目可知，含油抹布及手套年产生量约为0.2t/a</w:t>
            </w:r>
            <w:r>
              <w:rPr>
                <w:rFonts w:hint="eastAsia" w:cs="Times New Roman"/>
                <w:color w:val="000000" w:themeColor="text1"/>
                <w:lang w:eastAsia="zh-CN"/>
              </w:rPr>
              <w:t>。根据《国家危险废物名录</w:t>
            </w:r>
            <w:r>
              <w:rPr>
                <w:rFonts w:hint="eastAsia" w:cs="Times New Roman"/>
                <w:color w:val="000000" w:themeColor="text1"/>
                <w:lang w:val="en-US" w:eastAsia="zh-CN"/>
              </w:rPr>
              <w:t>（2021年版）</w:t>
            </w:r>
            <w:r>
              <w:rPr>
                <w:rFonts w:hint="eastAsia" w:cs="Times New Roman"/>
                <w:color w:val="000000" w:themeColor="text1"/>
                <w:lang w:eastAsia="zh-CN"/>
              </w:rPr>
              <w:t>》，含油抹布及手套属于豁免清单的危险废物。需进行分类收集，妥善处理后，全过程不按危险废物管理。</w:t>
            </w:r>
          </w:p>
          <w:p>
            <w:pPr>
              <w:spacing w:line="360" w:lineRule="auto"/>
              <w:ind w:firstLine="480" w:firstLineChars="200"/>
              <w:rPr>
                <w:rFonts w:cs="Times New Roman"/>
                <w:color w:val="000000" w:themeColor="text1"/>
                <w:kern w:val="0"/>
                <w:szCs w:val="24"/>
              </w:rPr>
            </w:pPr>
            <w:r>
              <w:rPr>
                <w:rFonts w:cs="Times New Roman"/>
                <w:color w:val="000000" w:themeColor="text1"/>
                <w:kern w:val="0"/>
                <w:szCs w:val="24"/>
              </w:rPr>
              <w:t>（3）危险固废</w:t>
            </w:r>
          </w:p>
          <w:p>
            <w:pPr>
              <w:spacing w:line="360" w:lineRule="auto"/>
              <w:ind w:firstLine="480" w:firstLineChars="200"/>
              <w:rPr>
                <w:rFonts w:cs="Times New Roman"/>
                <w:color w:val="000000" w:themeColor="text1"/>
              </w:rPr>
            </w:pPr>
            <w:r>
              <w:rPr>
                <w:rFonts w:cs="Times New Roman"/>
                <w:color w:val="000000" w:themeColor="text1"/>
                <w:szCs w:val="24"/>
              </w:rPr>
              <w:t>①</w:t>
            </w:r>
            <w:r>
              <w:rPr>
                <w:rFonts w:cs="Times New Roman"/>
                <w:color w:val="000000" w:themeColor="text1"/>
              </w:rPr>
              <w:t>废</w:t>
            </w:r>
            <w:r>
              <w:rPr>
                <w:rFonts w:cs="Times New Roman"/>
                <w:color w:val="000000" w:themeColor="text1"/>
                <w:szCs w:val="24"/>
              </w:rPr>
              <w:t>废润滑油、机油</w:t>
            </w:r>
          </w:p>
          <w:p>
            <w:pPr>
              <w:spacing w:line="360" w:lineRule="auto"/>
              <w:ind w:firstLine="480" w:firstLineChars="200"/>
              <w:rPr>
                <w:rFonts w:cs="Times New Roman"/>
                <w:color w:val="000000" w:themeColor="text1"/>
              </w:rPr>
            </w:pPr>
            <w:r>
              <w:rPr>
                <w:rFonts w:cs="Times New Roman"/>
                <w:color w:val="000000" w:themeColor="text1"/>
              </w:rPr>
              <w:t>根据建设单位提供的资料及类比同类型项目可知，废润滑油和机油年产生量约为0.001t/a，统一收集后暂存于危险废物暂存间，定期交给有资质的单位处理。</w:t>
            </w:r>
          </w:p>
          <w:p>
            <w:pPr>
              <w:spacing w:line="360" w:lineRule="auto"/>
              <w:ind w:firstLine="480" w:firstLineChars="200"/>
              <w:rPr>
                <w:rFonts w:cs="Times New Roman"/>
                <w:color w:val="000000"/>
                <w:kern w:val="0"/>
                <w:szCs w:val="24"/>
                <w:u w:val="single"/>
              </w:rPr>
            </w:pPr>
            <w:r>
              <w:rPr>
                <w:rFonts w:cs="Times New Roman"/>
                <w:color w:val="000000"/>
                <w:kern w:val="0"/>
                <w:szCs w:val="24"/>
                <w:u w:val="single"/>
              </w:rPr>
              <w:t>环评要求在机修车间内设置一间5m</w:t>
            </w:r>
            <w:r>
              <w:rPr>
                <w:rFonts w:cs="Times New Roman"/>
                <w:color w:val="000000"/>
                <w:kern w:val="0"/>
                <w:szCs w:val="24"/>
                <w:u w:val="single"/>
                <w:vertAlign w:val="superscript"/>
              </w:rPr>
              <w:t>2</w:t>
            </w:r>
            <w:r>
              <w:rPr>
                <w:rFonts w:cs="Times New Roman"/>
                <w:color w:val="000000"/>
                <w:kern w:val="0"/>
                <w:szCs w:val="24"/>
                <w:u w:val="single"/>
              </w:rPr>
              <w:t>的危险废物暂存间，危险废物暂存间的设计要求按《危险废物贮存污染控制标准要求》（GB18597-2001）的要求进行设计，危险废物贮存设施的设计原则为：</w:t>
            </w:r>
          </w:p>
          <w:p>
            <w:pPr>
              <w:widowControl/>
              <w:spacing w:line="360" w:lineRule="auto"/>
              <w:ind w:firstLine="480" w:firstLineChars="200"/>
              <w:jc w:val="left"/>
              <w:rPr>
                <w:rFonts w:cs="Times New Roman"/>
                <w:u w:val="single"/>
              </w:rPr>
            </w:pPr>
            <w:r>
              <w:rPr>
                <w:rFonts w:eastAsia="宋体" w:cs="Times New Roman"/>
                <w:color w:val="000000"/>
                <w:kern w:val="0"/>
                <w:szCs w:val="24"/>
                <w:u w:val="single"/>
                <w:lang w:bidi="ar"/>
              </w:rPr>
              <w:t xml:space="preserve">①应建造专用的危险废物贮存措施； </w:t>
            </w:r>
          </w:p>
          <w:p>
            <w:pPr>
              <w:widowControl/>
              <w:spacing w:line="360" w:lineRule="auto"/>
              <w:ind w:firstLine="480" w:firstLineChars="200"/>
              <w:jc w:val="left"/>
              <w:rPr>
                <w:rFonts w:cs="Times New Roman"/>
                <w:u w:val="single"/>
              </w:rPr>
            </w:pPr>
            <w:r>
              <w:rPr>
                <w:rFonts w:eastAsia="宋体" w:cs="Times New Roman"/>
                <w:color w:val="000000"/>
                <w:kern w:val="0"/>
                <w:szCs w:val="24"/>
                <w:u w:val="single"/>
                <w:lang w:bidi="ar"/>
              </w:rPr>
              <w:t xml:space="preserve">②必需将危险废物装入密闭容器内，并确保完好无损； </w:t>
            </w:r>
          </w:p>
          <w:p>
            <w:pPr>
              <w:widowControl/>
              <w:spacing w:line="360" w:lineRule="auto"/>
              <w:ind w:firstLine="480" w:firstLineChars="200"/>
              <w:jc w:val="left"/>
              <w:rPr>
                <w:rFonts w:cs="Times New Roman"/>
                <w:u w:val="single"/>
              </w:rPr>
            </w:pPr>
            <w:r>
              <w:rPr>
                <w:rFonts w:eastAsia="宋体" w:cs="Times New Roman"/>
                <w:color w:val="000000"/>
                <w:kern w:val="0"/>
                <w:szCs w:val="24"/>
                <w:u w:val="single"/>
                <w:lang w:bidi="ar"/>
              </w:rPr>
              <w:t xml:space="preserve">③盛装危险废物的容器必需粘贴符合标准的标签； </w:t>
            </w:r>
          </w:p>
          <w:p>
            <w:pPr>
              <w:widowControl/>
              <w:spacing w:line="360" w:lineRule="auto"/>
              <w:ind w:firstLine="480" w:firstLineChars="200"/>
              <w:jc w:val="left"/>
              <w:rPr>
                <w:rFonts w:cs="Times New Roman"/>
                <w:u w:val="single"/>
              </w:rPr>
            </w:pPr>
            <w:r>
              <w:rPr>
                <w:rFonts w:eastAsia="宋体" w:cs="Times New Roman"/>
                <w:color w:val="000000"/>
                <w:kern w:val="0"/>
                <w:szCs w:val="24"/>
                <w:u w:val="single"/>
                <w:lang w:bidi="ar"/>
              </w:rPr>
              <w:t xml:space="preserve">④装载危险废物的容器及材质要满足相应的强度要求； </w:t>
            </w:r>
          </w:p>
          <w:p>
            <w:pPr>
              <w:widowControl/>
              <w:spacing w:line="360" w:lineRule="auto"/>
              <w:ind w:firstLine="480" w:firstLineChars="200"/>
              <w:jc w:val="left"/>
              <w:rPr>
                <w:rFonts w:cs="Times New Roman"/>
                <w:u w:val="single"/>
              </w:rPr>
            </w:pPr>
            <w:r>
              <w:rPr>
                <w:rFonts w:eastAsia="宋体" w:cs="Times New Roman"/>
                <w:color w:val="000000"/>
                <w:kern w:val="0"/>
                <w:szCs w:val="24"/>
                <w:u w:val="single"/>
                <w:lang w:bidi="ar"/>
              </w:rPr>
              <w:t xml:space="preserve">⑤盛装危险废物的容器材质要与危险废物相容（不互相反应）； </w:t>
            </w:r>
          </w:p>
          <w:p>
            <w:pPr>
              <w:widowControl/>
              <w:spacing w:line="360" w:lineRule="auto"/>
              <w:ind w:firstLine="480" w:firstLineChars="200"/>
              <w:jc w:val="left"/>
              <w:rPr>
                <w:rFonts w:cs="Times New Roman"/>
                <w:u w:val="single"/>
              </w:rPr>
            </w:pPr>
            <w:r>
              <w:rPr>
                <w:rFonts w:eastAsia="宋体" w:cs="Times New Roman"/>
                <w:color w:val="000000"/>
                <w:kern w:val="0"/>
                <w:szCs w:val="24"/>
                <w:u w:val="single"/>
                <w:lang w:bidi="ar"/>
              </w:rPr>
              <w:t xml:space="preserve">⑥危险废物贮存设施地表与裙角要用坚固、防渗的材料建造，建造材料必须与危险 废物相容； </w:t>
            </w:r>
          </w:p>
          <w:p>
            <w:pPr>
              <w:widowControl/>
              <w:spacing w:line="360" w:lineRule="auto"/>
              <w:ind w:firstLine="480" w:firstLineChars="200"/>
              <w:jc w:val="left"/>
              <w:rPr>
                <w:rFonts w:cs="Times New Roman"/>
                <w:u w:val="single"/>
              </w:rPr>
            </w:pPr>
            <w:r>
              <w:rPr>
                <w:rFonts w:eastAsia="宋体" w:cs="Times New Roman"/>
                <w:color w:val="000000"/>
                <w:kern w:val="0"/>
                <w:szCs w:val="24"/>
                <w:u w:val="single"/>
                <w:lang w:bidi="ar"/>
              </w:rPr>
              <w:t>⑦贮存设施内要有安全照明设施和观察窗口。</w:t>
            </w:r>
          </w:p>
          <w:p>
            <w:pPr>
              <w:widowControl/>
              <w:spacing w:line="360" w:lineRule="auto"/>
              <w:ind w:firstLine="480" w:firstLineChars="200"/>
              <w:jc w:val="left"/>
              <w:rPr>
                <w:rFonts w:eastAsia="宋体" w:cs="Times New Roman"/>
                <w:color w:val="000000"/>
                <w:kern w:val="0"/>
                <w:szCs w:val="24"/>
                <w:u w:val="single"/>
                <w:lang w:bidi="ar"/>
              </w:rPr>
            </w:pPr>
            <w:r>
              <w:rPr>
                <w:rFonts w:eastAsia="宋体" w:cs="Times New Roman"/>
                <w:color w:val="000000"/>
                <w:kern w:val="0"/>
                <w:szCs w:val="24"/>
                <w:u w:val="single"/>
                <w:lang w:bidi="ar"/>
              </w:rPr>
              <w:t>建设单位在运行过程中，应指派专人负责危险废物的管理，并对危险废物的转运实行联单管理制度。在采取上述措施处理后,项目危险废物对周围环境影响不大。</w:t>
            </w:r>
          </w:p>
          <w:p>
            <w:pPr>
              <w:ind w:firstLine="422" w:firstLineChars="200"/>
              <w:jc w:val="center"/>
              <w:rPr>
                <w:rFonts w:cs="Times New Roman"/>
                <w:b/>
                <w:bCs/>
                <w:color w:val="000000" w:themeColor="text1"/>
                <w:kern w:val="0"/>
                <w:sz w:val="21"/>
              </w:rPr>
            </w:pPr>
            <w:r>
              <w:rPr>
                <w:rFonts w:hint="eastAsia" w:cs="Times New Roman"/>
                <w:b/>
                <w:bCs/>
                <w:color w:val="000000" w:themeColor="text1"/>
                <w:kern w:val="0"/>
                <w:sz w:val="21"/>
              </w:rPr>
              <w:t xml:space="preserve">表7.2-21 </w:t>
            </w:r>
            <w:r>
              <w:rPr>
                <w:rFonts w:hint="eastAsia" w:cs="Times New Roman"/>
                <w:b/>
                <w:bCs/>
                <w:color w:val="000000"/>
                <w:kern w:val="0"/>
                <w:sz w:val="21"/>
              </w:rPr>
              <w:t>危险废物贮存场所基本情况表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823"/>
              <w:gridCol w:w="1033"/>
              <w:gridCol w:w="1088"/>
              <w:gridCol w:w="1389"/>
              <w:gridCol w:w="691"/>
              <w:gridCol w:w="712"/>
              <w:gridCol w:w="823"/>
              <w:gridCol w:w="625"/>
              <w:gridCol w:w="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序号</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贮存场所名称</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危险废物名称</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危险废物类别</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危险废物代码</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位置</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占地面积</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贮存方式</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贮存能力</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1</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危险废物暂存间</w:t>
                  </w:r>
                </w:p>
              </w:tc>
              <w:tc>
                <w:tcPr>
                  <w:tcW w:w="0" w:type="auto"/>
                  <w:vAlign w:val="center"/>
                </w:tcPr>
                <w:p>
                  <w:pPr>
                    <w:adjustRightInd w:val="0"/>
                    <w:snapToGrid w:val="0"/>
                    <w:jc w:val="center"/>
                    <w:rPr>
                      <w:rFonts w:hAnsi="宋体"/>
                      <w:color w:val="000000"/>
                      <w:sz w:val="21"/>
                    </w:rPr>
                  </w:pPr>
                  <w:r>
                    <w:rPr>
                      <w:rFonts w:hAnsi="宋体"/>
                      <w:color w:val="000000"/>
                      <w:sz w:val="21"/>
                    </w:rPr>
                    <w:t>废废润滑油、机油</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废矿物油与含矿物油废物</w:t>
                  </w:r>
                </w:p>
              </w:tc>
              <w:tc>
                <w:tcPr>
                  <w:tcW w:w="0" w:type="auto"/>
                  <w:vAlign w:val="center"/>
                </w:tcPr>
                <w:p>
                  <w:pPr>
                    <w:adjustRightInd w:val="0"/>
                    <w:snapToGrid w:val="0"/>
                    <w:jc w:val="center"/>
                    <w:rPr>
                      <w:rFonts w:eastAsia="宋体" w:cs="Times New Roman"/>
                      <w:color w:val="000000"/>
                      <w:kern w:val="0"/>
                      <w:sz w:val="21"/>
                    </w:rPr>
                  </w:pPr>
                  <w:r>
                    <w:rPr>
                      <w:color w:val="000000"/>
                      <w:sz w:val="21"/>
                    </w:rPr>
                    <w:t>HW49 900-041-49</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机修车间内</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5m</w:t>
                  </w:r>
                  <w:r>
                    <w:rPr>
                      <w:rFonts w:hint="eastAsia" w:cs="Times New Roman"/>
                      <w:color w:val="000000"/>
                      <w:kern w:val="0"/>
                      <w:sz w:val="21"/>
                      <w:vertAlign w:val="superscript"/>
                    </w:rPr>
                    <w:t>2</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厂区内集中贮存</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1t</w:t>
                  </w:r>
                </w:p>
              </w:tc>
              <w:tc>
                <w:tcPr>
                  <w:tcW w:w="0" w:type="auto"/>
                  <w:vAlign w:val="center"/>
                </w:tcPr>
                <w:p>
                  <w:pPr>
                    <w:adjustRightInd w:val="0"/>
                    <w:snapToGrid w:val="0"/>
                    <w:jc w:val="center"/>
                    <w:rPr>
                      <w:rFonts w:eastAsia="宋体" w:cs="Times New Roman"/>
                      <w:color w:val="000000"/>
                      <w:kern w:val="0"/>
                      <w:sz w:val="21"/>
                    </w:rPr>
                  </w:pPr>
                  <w:r>
                    <w:rPr>
                      <w:rFonts w:hint="eastAsia" w:cs="Times New Roman"/>
                      <w:color w:val="000000"/>
                      <w:kern w:val="0"/>
                      <w:sz w:val="21"/>
                    </w:rPr>
                    <w:t>一年</w:t>
                  </w:r>
                </w:p>
              </w:tc>
            </w:tr>
          </w:tbl>
          <w:p>
            <w:pPr>
              <w:spacing w:line="360" w:lineRule="auto"/>
              <w:ind w:firstLine="480" w:firstLineChars="200"/>
              <w:rPr>
                <w:rFonts w:cs="Times New Roman"/>
                <w:color w:val="000000" w:themeColor="text1"/>
                <w:kern w:val="0"/>
                <w:szCs w:val="24"/>
              </w:rPr>
            </w:pPr>
            <w:r>
              <w:rPr>
                <w:rFonts w:cs="Times New Roman"/>
                <w:color w:val="000000" w:themeColor="text1"/>
                <w:kern w:val="0"/>
                <w:szCs w:val="24"/>
              </w:rPr>
              <w:t>采取以上措施后，本项目产生的固体废物不会对当地环境产生明显影响。具体处置方式见下表所示。</w:t>
            </w:r>
          </w:p>
          <w:p>
            <w:pPr>
              <w:pStyle w:val="15"/>
              <w:spacing w:line="240" w:lineRule="auto"/>
              <w:rPr>
                <w:rFonts w:cs="Times New Roman" w:eastAsiaTheme="minorEastAsia"/>
                <w:sz w:val="21"/>
                <w:szCs w:val="21"/>
              </w:rPr>
            </w:pPr>
          </w:p>
          <w:p>
            <w:pPr>
              <w:pStyle w:val="15"/>
              <w:spacing w:line="240" w:lineRule="auto"/>
              <w:rPr>
                <w:rFonts w:cs="Times New Roman" w:eastAsiaTheme="minorEastAsia"/>
                <w:sz w:val="21"/>
                <w:szCs w:val="21"/>
              </w:rPr>
            </w:pPr>
            <w:r>
              <w:rPr>
                <w:rFonts w:cs="Times New Roman" w:eastAsiaTheme="minorEastAsia"/>
                <w:sz w:val="21"/>
                <w:szCs w:val="21"/>
              </w:rPr>
              <w:t>表</w:t>
            </w:r>
            <w:r>
              <w:rPr>
                <w:rFonts w:cs="Times New Roman" w:eastAsiaTheme="minorEastAsia"/>
                <w:sz w:val="21"/>
                <w:szCs w:val="21"/>
              </w:rPr>
              <w:fldChar w:fldCharType="begin"/>
            </w:r>
            <w:r>
              <w:rPr>
                <w:rFonts w:cs="Times New Roman" w:eastAsiaTheme="minorEastAsia"/>
                <w:sz w:val="21"/>
                <w:szCs w:val="21"/>
              </w:rPr>
              <w:instrText xml:space="preserve"> STYLEREF 2 \s </w:instrText>
            </w:r>
            <w:r>
              <w:rPr>
                <w:rFonts w:cs="Times New Roman" w:eastAsiaTheme="minorEastAsia"/>
                <w:sz w:val="21"/>
                <w:szCs w:val="21"/>
              </w:rPr>
              <w:fldChar w:fldCharType="separate"/>
            </w:r>
            <w:r>
              <w:rPr>
                <w:rFonts w:cs="Times New Roman" w:eastAsiaTheme="minorEastAsia"/>
                <w:sz w:val="21"/>
                <w:szCs w:val="21"/>
              </w:rPr>
              <w:t>7.2</w:t>
            </w:r>
            <w:r>
              <w:rPr>
                <w:rFonts w:cs="Times New Roman" w:eastAsiaTheme="minorEastAsia"/>
                <w:sz w:val="21"/>
                <w:szCs w:val="21"/>
              </w:rPr>
              <w:fldChar w:fldCharType="end"/>
            </w:r>
            <w:r>
              <w:rPr>
                <w:rFonts w:cs="Times New Roman" w:eastAsiaTheme="minorEastAsia"/>
                <w:sz w:val="21"/>
                <w:szCs w:val="21"/>
              </w:rPr>
              <w:noBreakHyphen/>
            </w:r>
            <w:r>
              <w:rPr>
                <w:rFonts w:cs="Times New Roman" w:eastAsiaTheme="minorEastAsia"/>
                <w:sz w:val="21"/>
                <w:szCs w:val="21"/>
              </w:rPr>
              <w:t>2</w:t>
            </w:r>
            <w:r>
              <w:rPr>
                <w:rFonts w:hint="eastAsia" w:cs="Times New Roman" w:eastAsiaTheme="minorEastAsia"/>
                <w:sz w:val="21"/>
                <w:szCs w:val="21"/>
              </w:rPr>
              <w:t>2</w:t>
            </w:r>
            <w:r>
              <w:rPr>
                <w:rFonts w:cs="Times New Roman" w:eastAsiaTheme="minorEastAsia"/>
                <w:sz w:val="21"/>
                <w:szCs w:val="21"/>
              </w:rPr>
              <w:t xml:space="preserve"> 本项目固废利用产生及去向</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560"/>
              <w:gridCol w:w="1577"/>
              <w:gridCol w:w="1441"/>
              <w:gridCol w:w="818"/>
              <w:gridCol w:w="472"/>
              <w:gridCol w:w="1157"/>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序号</w:t>
                  </w:r>
                </w:p>
              </w:tc>
              <w:tc>
                <w:tcPr>
                  <w:tcW w:w="337"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分类</w:t>
                  </w:r>
                </w:p>
              </w:tc>
              <w:tc>
                <w:tcPr>
                  <w:tcW w:w="949"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固体废弃物名称</w:t>
                  </w:r>
                </w:p>
              </w:tc>
              <w:tc>
                <w:tcPr>
                  <w:tcW w:w="867"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废物代码</w:t>
                  </w:r>
                </w:p>
              </w:tc>
              <w:tc>
                <w:tcPr>
                  <w:tcW w:w="49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产生工序</w:t>
                  </w:r>
                </w:p>
              </w:tc>
              <w:tc>
                <w:tcPr>
                  <w:tcW w:w="284"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形态</w:t>
                  </w:r>
                </w:p>
              </w:tc>
              <w:tc>
                <w:tcPr>
                  <w:tcW w:w="696"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产生量</w:t>
                  </w:r>
                </w:p>
              </w:tc>
              <w:tc>
                <w:tcPr>
                  <w:tcW w:w="1088"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1</w:t>
                  </w:r>
                </w:p>
              </w:tc>
              <w:tc>
                <w:tcPr>
                  <w:tcW w:w="337" w:type="pct"/>
                  <w:vMerge w:val="restar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一般固废</w:t>
                  </w:r>
                </w:p>
              </w:tc>
              <w:tc>
                <w:tcPr>
                  <w:tcW w:w="949"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除尘设备收集的粉尘</w:t>
                  </w:r>
                </w:p>
              </w:tc>
              <w:tc>
                <w:tcPr>
                  <w:tcW w:w="867"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w:t>
                  </w:r>
                </w:p>
              </w:tc>
              <w:tc>
                <w:tcPr>
                  <w:tcW w:w="49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脉冲除尘器收集的粉尘</w:t>
                  </w:r>
                </w:p>
              </w:tc>
              <w:tc>
                <w:tcPr>
                  <w:tcW w:w="284"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固态</w:t>
                  </w:r>
                </w:p>
              </w:tc>
              <w:tc>
                <w:tcPr>
                  <w:tcW w:w="696"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310.3t/a</w:t>
                  </w:r>
                </w:p>
              </w:tc>
              <w:tc>
                <w:tcPr>
                  <w:tcW w:w="1088"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rPr>
                  </w:pPr>
                  <w:r>
                    <w:rPr>
                      <w:rFonts w:hint="default" w:ascii="Times New Roman" w:hAnsi="Times New Roman" w:cs="Times New Roman" w:eastAsiaTheme="minorEastAsia"/>
                      <w:b w:val="0"/>
                      <w:color w:val="000000" w:themeColor="text1"/>
                      <w:kern w:val="0"/>
                      <w:sz w:val="21"/>
                    </w:rPr>
                    <w:t>均回用于生产</w:t>
                  </w:r>
                  <w:r>
                    <w:rPr>
                      <w:rFonts w:hint="default" w:ascii="Times New Roman" w:hAnsi="Times New Roman" w:cs="Times New Roman" w:eastAsiaTheme="minorEastAsia"/>
                      <w:b w:val="0"/>
                      <w:color w:val="000000" w:themeColor="text1"/>
                      <w:kern w:val="0"/>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8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2</w:t>
                  </w:r>
                </w:p>
              </w:tc>
              <w:tc>
                <w:tcPr>
                  <w:tcW w:w="337" w:type="pct"/>
                  <w:vMerge w:val="continue"/>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p>
              </w:tc>
              <w:tc>
                <w:tcPr>
                  <w:tcW w:w="949"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砂石分离机分离后的砂石</w:t>
                  </w:r>
                </w:p>
              </w:tc>
              <w:tc>
                <w:tcPr>
                  <w:tcW w:w="867"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w:t>
                  </w:r>
                </w:p>
              </w:tc>
              <w:tc>
                <w:tcPr>
                  <w:tcW w:w="49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砂石分离机分离</w:t>
                  </w:r>
                </w:p>
              </w:tc>
              <w:tc>
                <w:tcPr>
                  <w:tcW w:w="284"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固态</w:t>
                  </w:r>
                </w:p>
              </w:tc>
              <w:tc>
                <w:tcPr>
                  <w:tcW w:w="696"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900t/a</w:t>
                  </w:r>
                </w:p>
              </w:tc>
              <w:tc>
                <w:tcPr>
                  <w:tcW w:w="1088"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rPr>
                    <w:t>均回用于生产</w:t>
                  </w:r>
                  <w:r>
                    <w:rPr>
                      <w:rFonts w:hint="default" w:ascii="Times New Roman" w:hAnsi="Times New Roman" w:cs="Times New Roman" w:eastAsiaTheme="minorEastAsia"/>
                      <w:b w:val="0"/>
                      <w:color w:val="000000" w:themeColor="text1"/>
                      <w:kern w:val="0"/>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3</w:t>
                  </w:r>
                </w:p>
              </w:tc>
              <w:tc>
                <w:tcPr>
                  <w:tcW w:w="337" w:type="pct"/>
                  <w:vMerge w:val="continue"/>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p>
              </w:tc>
              <w:tc>
                <w:tcPr>
                  <w:tcW w:w="949"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沉淀池沉淀泥砂</w:t>
                  </w:r>
                </w:p>
              </w:tc>
              <w:tc>
                <w:tcPr>
                  <w:tcW w:w="867"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w:t>
                  </w:r>
                </w:p>
              </w:tc>
              <w:tc>
                <w:tcPr>
                  <w:tcW w:w="49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沉淀池</w:t>
                  </w:r>
                </w:p>
              </w:tc>
              <w:tc>
                <w:tcPr>
                  <w:tcW w:w="284"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固态</w:t>
                  </w:r>
                </w:p>
              </w:tc>
              <w:tc>
                <w:tcPr>
                  <w:tcW w:w="696"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2.27t/a</w:t>
                  </w:r>
                </w:p>
              </w:tc>
              <w:tc>
                <w:tcPr>
                  <w:tcW w:w="1088"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rPr>
                    <w:t>均回用于生产</w:t>
                  </w:r>
                  <w:r>
                    <w:rPr>
                      <w:rFonts w:hint="default" w:ascii="Times New Roman" w:hAnsi="Times New Roman" w:cs="Times New Roman" w:eastAsiaTheme="minorEastAsia"/>
                      <w:b w:val="0"/>
                      <w:color w:val="000000" w:themeColor="text1"/>
                      <w:kern w:val="0"/>
                      <w:sz w:val="21"/>
                      <w:szCs w:val="21"/>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8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4</w:t>
                  </w:r>
                </w:p>
              </w:tc>
              <w:tc>
                <w:tcPr>
                  <w:tcW w:w="337" w:type="pct"/>
                  <w:vMerge w:val="continue"/>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p>
              </w:tc>
              <w:tc>
                <w:tcPr>
                  <w:tcW w:w="949"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实验废料</w:t>
                  </w:r>
                </w:p>
              </w:tc>
              <w:tc>
                <w:tcPr>
                  <w:tcW w:w="867"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w:t>
                  </w:r>
                </w:p>
              </w:tc>
              <w:tc>
                <w:tcPr>
                  <w:tcW w:w="49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sz w:val="21"/>
                      <w:szCs w:val="21"/>
                    </w:rPr>
                  </w:pPr>
                  <w:r>
                    <w:rPr>
                      <w:rFonts w:hint="default" w:ascii="Times New Roman" w:hAnsi="Times New Roman" w:cs="Times New Roman" w:eastAsiaTheme="minorEastAsia"/>
                      <w:b w:val="0"/>
                      <w:color w:val="000000" w:themeColor="text1"/>
                      <w:sz w:val="21"/>
                      <w:szCs w:val="21"/>
                    </w:rPr>
                    <w:t>试验</w:t>
                  </w:r>
                </w:p>
              </w:tc>
              <w:tc>
                <w:tcPr>
                  <w:tcW w:w="284"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sz w:val="21"/>
                      <w:szCs w:val="21"/>
                    </w:rPr>
                  </w:pPr>
                  <w:r>
                    <w:rPr>
                      <w:rFonts w:hint="default" w:ascii="Times New Roman" w:hAnsi="Times New Roman" w:cs="Times New Roman" w:eastAsiaTheme="minorEastAsia"/>
                      <w:b w:val="0"/>
                      <w:color w:val="000000" w:themeColor="text1"/>
                      <w:sz w:val="21"/>
                      <w:szCs w:val="21"/>
                    </w:rPr>
                    <w:t>固态</w:t>
                  </w:r>
                </w:p>
              </w:tc>
              <w:tc>
                <w:tcPr>
                  <w:tcW w:w="696"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sz w:val="21"/>
                      <w:szCs w:val="21"/>
                      <w:lang w:val="en-US" w:eastAsia="zh-CN"/>
                    </w:rPr>
                    <w:t>500</w:t>
                  </w:r>
                  <w:r>
                    <w:rPr>
                      <w:rFonts w:hint="default" w:ascii="Times New Roman" w:hAnsi="Times New Roman" w:cs="Times New Roman" w:eastAsiaTheme="minorEastAsia"/>
                      <w:b w:val="0"/>
                      <w:color w:val="000000" w:themeColor="text1"/>
                      <w:sz w:val="21"/>
                      <w:szCs w:val="21"/>
                    </w:rPr>
                    <w:t>t/a</w:t>
                  </w:r>
                </w:p>
              </w:tc>
              <w:tc>
                <w:tcPr>
                  <w:tcW w:w="1088"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rPr>
                  </w:pPr>
                  <w:r>
                    <w:rPr>
                      <w:rFonts w:hint="default" w:ascii="Times New Roman" w:hAnsi="Times New Roman" w:cs="Times New Roman" w:eastAsiaTheme="minorEastAsia"/>
                      <w:b w:val="0"/>
                      <w:color w:val="000000" w:themeColor="text1"/>
                      <w:kern w:val="0"/>
                      <w:sz w:val="21"/>
                    </w:rPr>
                    <w:t>其中的砂石回收利用，浆液入沉淀池沉淀处理后回用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8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5</w:t>
                  </w:r>
                </w:p>
              </w:tc>
              <w:tc>
                <w:tcPr>
                  <w:tcW w:w="337" w:type="pct"/>
                  <w:vMerge w:val="continue"/>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p>
              </w:tc>
              <w:tc>
                <w:tcPr>
                  <w:tcW w:w="949"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sz w:val="21"/>
                      <w:szCs w:val="21"/>
                    </w:rPr>
                    <w:t>废含油抹布、含油手套</w:t>
                  </w:r>
                </w:p>
              </w:tc>
              <w:tc>
                <w:tcPr>
                  <w:tcW w:w="867" w:type="pct"/>
                  <w:vAlign w:val="center"/>
                </w:tcPr>
                <w:p>
                  <w:pPr>
                    <w:pStyle w:val="15"/>
                    <w:adjustRightInd w:val="0"/>
                    <w:snapToGrid w:val="0"/>
                    <w:spacing w:line="240" w:lineRule="auto"/>
                    <w:jc w:val="both"/>
                    <w:rPr>
                      <w:rFonts w:hint="eastAsia" w:ascii="Times New Roman" w:hAnsi="Times New Roman" w:cs="Times New Roman" w:eastAsiaTheme="minorEastAsia"/>
                      <w:b w:val="0"/>
                      <w:color w:val="000000" w:themeColor="text1"/>
                      <w:kern w:val="0"/>
                      <w:sz w:val="21"/>
                      <w:szCs w:val="21"/>
                      <w:lang w:eastAsia="zh-CN"/>
                    </w:rPr>
                  </w:pPr>
                  <w:r>
                    <w:rPr>
                      <w:rFonts w:hint="eastAsia" w:cs="Times New Roman" w:eastAsiaTheme="minorEastAsia"/>
                      <w:b w:val="0"/>
                      <w:color w:val="000000" w:themeColor="text1"/>
                      <w:kern w:val="0"/>
                      <w:sz w:val="21"/>
                      <w:szCs w:val="21"/>
                      <w:lang w:eastAsia="zh-CN"/>
                    </w:rPr>
                    <w:t>属于危险废物豁免清单管理危废，全过程不按危险废物管理</w:t>
                  </w:r>
                </w:p>
              </w:tc>
              <w:tc>
                <w:tcPr>
                  <w:tcW w:w="49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sz w:val="21"/>
                      <w:szCs w:val="21"/>
                    </w:rPr>
                  </w:pPr>
                  <w:r>
                    <w:rPr>
                      <w:rFonts w:hint="default" w:ascii="Times New Roman" w:hAnsi="Times New Roman" w:cs="Times New Roman" w:eastAsiaTheme="minorEastAsia"/>
                      <w:b w:val="0"/>
                      <w:color w:val="000000"/>
                      <w:sz w:val="21"/>
                      <w:szCs w:val="21"/>
                    </w:rPr>
                    <w:t>机械维护维修</w:t>
                  </w:r>
                </w:p>
              </w:tc>
              <w:tc>
                <w:tcPr>
                  <w:tcW w:w="284"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sz w:val="21"/>
                      <w:szCs w:val="21"/>
                    </w:rPr>
                  </w:pPr>
                  <w:r>
                    <w:rPr>
                      <w:rFonts w:hint="default" w:ascii="Times New Roman" w:hAnsi="Times New Roman" w:cs="Times New Roman" w:eastAsiaTheme="minorEastAsia"/>
                      <w:b w:val="0"/>
                      <w:color w:val="000000" w:themeColor="text1"/>
                      <w:sz w:val="21"/>
                      <w:szCs w:val="21"/>
                    </w:rPr>
                    <w:t>固态</w:t>
                  </w:r>
                </w:p>
              </w:tc>
              <w:tc>
                <w:tcPr>
                  <w:tcW w:w="696"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sz w:val="21"/>
                      <w:szCs w:val="21"/>
                      <w:lang w:val="en-US" w:eastAsia="zh-CN"/>
                    </w:rPr>
                  </w:pPr>
                  <w:r>
                    <w:rPr>
                      <w:rFonts w:hint="default" w:ascii="Times New Roman" w:hAnsi="Times New Roman" w:cs="Times New Roman" w:eastAsiaTheme="minorEastAsia"/>
                      <w:b w:val="0"/>
                      <w:color w:val="000000" w:themeColor="text1"/>
                      <w:kern w:val="0"/>
                      <w:sz w:val="21"/>
                      <w:szCs w:val="21"/>
                    </w:rPr>
                    <w:t>0.2t/a</w:t>
                  </w:r>
                </w:p>
              </w:tc>
              <w:tc>
                <w:tcPr>
                  <w:tcW w:w="1088" w:type="pct"/>
                  <w:vAlign w:val="center"/>
                </w:tcPr>
                <w:p>
                  <w:pPr>
                    <w:pStyle w:val="15"/>
                    <w:adjustRightInd w:val="0"/>
                    <w:snapToGrid w:val="0"/>
                    <w:spacing w:line="240" w:lineRule="auto"/>
                    <w:rPr>
                      <w:rFonts w:hint="eastAsia" w:ascii="Times New Roman" w:hAnsi="Times New Roman" w:cs="Times New Roman" w:eastAsiaTheme="minorEastAsia"/>
                      <w:b w:val="0"/>
                      <w:color w:val="000000" w:themeColor="text1"/>
                      <w:kern w:val="0"/>
                      <w:sz w:val="21"/>
                      <w:lang w:eastAsia="zh-CN"/>
                    </w:rPr>
                  </w:pPr>
                  <w:r>
                    <w:rPr>
                      <w:rFonts w:hint="eastAsia" w:cs="Times New Roman" w:eastAsiaTheme="minorEastAsia"/>
                      <w:b w:val="0"/>
                      <w:color w:val="000000" w:themeColor="text1"/>
                      <w:kern w:val="0"/>
                      <w:sz w:val="21"/>
                      <w:lang w:eastAsia="zh-CN"/>
                    </w:rPr>
                    <w:t>分类收集后，妥善处理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6</w:t>
                  </w:r>
                </w:p>
              </w:tc>
              <w:tc>
                <w:tcPr>
                  <w:tcW w:w="337" w:type="pct"/>
                  <w:tcBorders>
                    <w:bottom w:val="single" w:color="000000" w:sz="4" w:space="0"/>
                  </w:tcBorders>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危险固废</w:t>
                  </w:r>
                </w:p>
              </w:tc>
              <w:tc>
                <w:tcPr>
                  <w:tcW w:w="949" w:type="pct"/>
                  <w:tcBorders>
                    <w:bottom w:val="single" w:color="000000" w:sz="4" w:space="0"/>
                  </w:tcBorders>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sz w:val="21"/>
                      <w:szCs w:val="21"/>
                    </w:rPr>
                    <w:t>废油包括润滑油、机油</w:t>
                  </w:r>
                </w:p>
              </w:tc>
              <w:tc>
                <w:tcPr>
                  <w:tcW w:w="867"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HW08</w:t>
                  </w:r>
                </w:p>
                <w:p>
                  <w:pPr>
                    <w:adjustRightInd w:val="0"/>
                    <w:snapToGrid w:val="0"/>
                    <w:jc w:val="center"/>
                    <w:rPr>
                      <w:rFonts w:hint="default" w:ascii="Times New Roman" w:hAnsi="Times New Roman" w:cs="Times New Roman"/>
                      <w:sz w:val="21"/>
                    </w:rPr>
                  </w:pPr>
                  <w:r>
                    <w:rPr>
                      <w:rFonts w:hint="default" w:ascii="Times New Roman" w:hAnsi="Times New Roman" w:cs="Times New Roman"/>
                      <w:sz w:val="21"/>
                    </w:rPr>
                    <w:t>900-249-08</w:t>
                  </w:r>
                </w:p>
              </w:tc>
              <w:tc>
                <w:tcPr>
                  <w:tcW w:w="492" w:type="pct"/>
                  <w:vAlign w:val="center"/>
                </w:tcPr>
                <w:p>
                  <w:pPr>
                    <w:pStyle w:val="15"/>
                    <w:adjustRightInd w:val="0"/>
                    <w:snapToGrid w:val="0"/>
                    <w:spacing w:line="240" w:lineRule="auto"/>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机械维护维修</w:t>
                  </w:r>
                </w:p>
              </w:tc>
              <w:tc>
                <w:tcPr>
                  <w:tcW w:w="284" w:type="pct"/>
                  <w:vAlign w:val="center"/>
                </w:tcPr>
                <w:p>
                  <w:pPr>
                    <w:pStyle w:val="15"/>
                    <w:adjustRightInd w:val="0"/>
                    <w:snapToGrid w:val="0"/>
                    <w:spacing w:line="240" w:lineRule="auto"/>
                    <w:rPr>
                      <w:rFonts w:hint="default" w:ascii="Times New Roman" w:hAnsi="Times New Roman" w:cs="Times New Roman" w:eastAsiaTheme="minorEastAsia"/>
                      <w:b w:val="0"/>
                      <w:color w:val="000000"/>
                      <w:sz w:val="21"/>
                      <w:szCs w:val="21"/>
                    </w:rPr>
                  </w:pPr>
                  <w:r>
                    <w:rPr>
                      <w:rFonts w:hint="default" w:ascii="Times New Roman" w:hAnsi="Times New Roman" w:cs="Times New Roman" w:eastAsiaTheme="minorEastAsia"/>
                      <w:b w:val="0"/>
                      <w:color w:val="000000"/>
                      <w:sz w:val="21"/>
                      <w:szCs w:val="21"/>
                    </w:rPr>
                    <w:t>液态</w:t>
                  </w:r>
                </w:p>
              </w:tc>
              <w:tc>
                <w:tcPr>
                  <w:tcW w:w="696"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sz w:val="21"/>
                      <w:szCs w:val="21"/>
                    </w:rPr>
                    <w:t>0.001</w:t>
                  </w:r>
                  <w:r>
                    <w:rPr>
                      <w:rFonts w:hint="default" w:ascii="Times New Roman" w:hAnsi="Times New Roman" w:cs="Times New Roman" w:eastAsiaTheme="minorEastAsia"/>
                      <w:b w:val="0"/>
                      <w:color w:val="000000" w:themeColor="text1"/>
                      <w:kern w:val="0"/>
                      <w:sz w:val="21"/>
                      <w:szCs w:val="21"/>
                    </w:rPr>
                    <w:t>t/a</w:t>
                  </w:r>
                </w:p>
              </w:tc>
              <w:tc>
                <w:tcPr>
                  <w:tcW w:w="1088" w:type="pct"/>
                  <w:vAlign w:val="center"/>
                </w:tcPr>
                <w:p>
                  <w:pPr>
                    <w:adjustRightInd w:val="0"/>
                    <w:snapToGrid w:val="0"/>
                    <w:jc w:val="center"/>
                    <w:rPr>
                      <w:rFonts w:hint="default" w:ascii="Times New Roman" w:hAnsi="Times New Roman" w:cs="Times New Roman"/>
                      <w:sz w:val="21"/>
                    </w:rPr>
                  </w:pPr>
                  <w:r>
                    <w:rPr>
                      <w:rFonts w:hint="default" w:ascii="Times New Roman" w:hAnsi="Times New Roman" w:cs="Times New Roman"/>
                      <w:sz w:val="21"/>
                    </w:rPr>
                    <w:t>设置危废储存间，交由资质公司处理</w:t>
                  </w:r>
                </w:p>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7</w:t>
                  </w:r>
                </w:p>
              </w:tc>
              <w:tc>
                <w:tcPr>
                  <w:tcW w:w="337"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生活垃圾</w:t>
                  </w:r>
                </w:p>
              </w:tc>
              <w:tc>
                <w:tcPr>
                  <w:tcW w:w="949"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生活垃圾</w:t>
                  </w:r>
                </w:p>
              </w:tc>
              <w:tc>
                <w:tcPr>
                  <w:tcW w:w="867"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w:t>
                  </w:r>
                </w:p>
              </w:tc>
              <w:tc>
                <w:tcPr>
                  <w:tcW w:w="492"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员工生活</w:t>
                  </w:r>
                </w:p>
              </w:tc>
              <w:tc>
                <w:tcPr>
                  <w:tcW w:w="284"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w:t>
                  </w:r>
                </w:p>
              </w:tc>
              <w:tc>
                <w:tcPr>
                  <w:tcW w:w="696"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4.62t/a</w:t>
                  </w:r>
                </w:p>
              </w:tc>
              <w:tc>
                <w:tcPr>
                  <w:tcW w:w="1088" w:type="pct"/>
                  <w:vAlign w:val="center"/>
                </w:tcPr>
                <w:p>
                  <w:pPr>
                    <w:pStyle w:val="15"/>
                    <w:adjustRightInd w:val="0"/>
                    <w:snapToGrid w:val="0"/>
                    <w:spacing w:line="240" w:lineRule="auto"/>
                    <w:rPr>
                      <w:rFonts w:hint="default" w:ascii="Times New Roman" w:hAnsi="Times New Roman" w:cs="Times New Roman" w:eastAsiaTheme="minorEastAsia"/>
                      <w:b w:val="0"/>
                      <w:color w:val="000000" w:themeColor="text1"/>
                      <w:kern w:val="0"/>
                      <w:sz w:val="21"/>
                      <w:szCs w:val="21"/>
                    </w:rPr>
                  </w:pPr>
                  <w:r>
                    <w:rPr>
                      <w:rFonts w:hint="default" w:ascii="Times New Roman" w:hAnsi="Times New Roman" w:cs="Times New Roman" w:eastAsiaTheme="minorEastAsia"/>
                      <w:b w:val="0"/>
                      <w:color w:val="000000" w:themeColor="text1"/>
                      <w:kern w:val="0"/>
                      <w:sz w:val="21"/>
                      <w:szCs w:val="21"/>
                    </w:rPr>
                    <w:t>环卫部门统一清运</w:t>
                  </w:r>
                </w:p>
              </w:tc>
            </w:tr>
          </w:tbl>
          <w:p>
            <w:pPr>
              <w:pStyle w:val="7"/>
              <w:rPr>
                <w:rFonts w:cs="Times New Roman" w:eastAsiaTheme="minorEastAsia"/>
              </w:rPr>
            </w:pPr>
            <w:r>
              <w:rPr>
                <w:rFonts w:cs="Times New Roman" w:eastAsiaTheme="minorEastAsia"/>
              </w:rPr>
              <w:t>地下水影响分析机污染防治措施</w:t>
            </w:r>
          </w:p>
          <w:p>
            <w:pPr>
              <w:spacing w:line="360" w:lineRule="auto"/>
              <w:ind w:firstLine="480" w:firstLineChars="200"/>
              <w:rPr>
                <w:rFonts w:cs="Times New Roman"/>
              </w:rPr>
            </w:pPr>
            <w:r>
              <w:rPr>
                <w:rFonts w:cs="Times New Roman"/>
              </w:rPr>
              <w:t>（1）评价工作等级</w:t>
            </w:r>
          </w:p>
          <w:p>
            <w:pPr>
              <w:keepNext/>
              <w:ind w:firstLine="422" w:firstLineChars="200"/>
              <w:jc w:val="center"/>
              <w:rPr>
                <w:rFonts w:cs="Times New Roman"/>
                <w:b/>
                <w:sz w:val="21"/>
              </w:rPr>
            </w:pPr>
            <w:r>
              <w:rPr>
                <w:rFonts w:cs="Times New Roman"/>
                <w:b/>
                <w:sz w:val="21"/>
              </w:rPr>
              <w:t>表7.2</w:t>
            </w:r>
            <w:r>
              <w:rPr>
                <w:rFonts w:cs="Times New Roman"/>
                <w:b/>
                <w:sz w:val="21"/>
              </w:rPr>
              <w:noBreakHyphen/>
            </w:r>
            <w:r>
              <w:rPr>
                <w:rFonts w:cs="Times New Roman"/>
                <w:b/>
                <w:sz w:val="21"/>
              </w:rPr>
              <w:t>2</w:t>
            </w:r>
            <w:r>
              <w:rPr>
                <w:rFonts w:hint="eastAsia" w:cs="Times New Roman"/>
                <w:b/>
                <w:sz w:val="21"/>
              </w:rPr>
              <w:t>3</w:t>
            </w:r>
            <w:r>
              <w:rPr>
                <w:rFonts w:cs="Times New Roman"/>
                <w:b/>
                <w:sz w:val="21"/>
              </w:rPr>
              <w:t xml:space="preserve">  </w:t>
            </w:r>
            <w:r>
              <w:rPr>
                <w:rFonts w:cs="Times New Roman"/>
                <w:b/>
                <w:color w:val="000000"/>
                <w:sz w:val="21"/>
              </w:rPr>
              <w:t>地下水评价级别判据</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1703"/>
              <w:gridCol w:w="1279"/>
              <w:gridCol w:w="1842"/>
              <w:gridCol w:w="1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pct"/>
                  <w:vMerge w:val="restart"/>
                  <w:tcBorders>
                    <w:tr2bl w:val="single" w:color="auto" w:sz="4" w:space="0"/>
                  </w:tcBorders>
                </w:tcPr>
                <w:p>
                  <w:pPr>
                    <w:keepLines w:val="0"/>
                    <w:pageBreakBefore w:val="0"/>
                    <w:widowControl w:val="0"/>
                    <w:kinsoku/>
                    <w:wordWrap/>
                    <w:overflowPunct/>
                    <w:topLinePunct w:val="0"/>
                    <w:autoSpaceDE/>
                    <w:autoSpaceDN/>
                    <w:bidi w:val="0"/>
                    <w:adjustRightInd/>
                    <w:snapToGrid/>
                    <w:textAlignment w:val="auto"/>
                    <w:rPr>
                      <w:rFonts w:cs="Times New Roman"/>
                      <w:sz w:val="21"/>
                    </w:rPr>
                  </w:pPr>
                  <w:r>
                    <w:rPr>
                      <w:rFonts w:cs="Times New Roman"/>
                      <w:sz w:val="21"/>
                    </w:rPr>
                    <w:t>环评类别</w:t>
                  </w:r>
                </w:p>
                <w:p>
                  <w:pPr>
                    <w:keepLines w:val="0"/>
                    <w:pageBreakBefore w:val="0"/>
                    <w:widowControl w:val="0"/>
                    <w:kinsoku/>
                    <w:wordWrap/>
                    <w:overflowPunct/>
                    <w:topLinePunct w:val="0"/>
                    <w:autoSpaceDE/>
                    <w:autoSpaceDN/>
                    <w:bidi w:val="0"/>
                    <w:adjustRightInd/>
                    <w:snapToGrid/>
                    <w:jc w:val="right"/>
                    <w:textAlignment w:val="auto"/>
                    <w:rPr>
                      <w:rFonts w:cs="Times New Roman"/>
                      <w:sz w:val="21"/>
                    </w:rPr>
                  </w:pPr>
                  <w:r>
                    <w:rPr>
                      <w:rFonts w:cs="Times New Roman"/>
                      <w:sz w:val="21"/>
                    </w:rPr>
                    <w:t>行业类别</w:t>
                  </w:r>
                </w:p>
              </w:tc>
              <w:tc>
                <w:tcPr>
                  <w:tcW w:w="1025" w:type="pct"/>
                  <w:vMerge w:val="restart"/>
                  <w:vAlign w:val="center"/>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报告书</w:t>
                  </w:r>
                </w:p>
              </w:tc>
              <w:tc>
                <w:tcPr>
                  <w:tcW w:w="770" w:type="pct"/>
                  <w:vMerge w:val="restart"/>
                  <w:vAlign w:val="center"/>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报告表</w:t>
                  </w:r>
                </w:p>
              </w:tc>
              <w:tc>
                <w:tcPr>
                  <w:tcW w:w="2183" w:type="pct"/>
                  <w:gridSpan w:val="2"/>
                  <w:vAlign w:val="center"/>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地下水环境影响评价项目类别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pct"/>
                  <w:vMerge w:val="continue"/>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p>
              </w:tc>
              <w:tc>
                <w:tcPr>
                  <w:tcW w:w="1025" w:type="pct"/>
                  <w:vMerge w:val="continue"/>
                  <w:vAlign w:val="center"/>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p>
              </w:tc>
              <w:tc>
                <w:tcPr>
                  <w:tcW w:w="770" w:type="pct"/>
                  <w:vMerge w:val="continue"/>
                  <w:vAlign w:val="center"/>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p>
              </w:tc>
              <w:tc>
                <w:tcPr>
                  <w:tcW w:w="1109" w:type="pct"/>
                  <w:vAlign w:val="center"/>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报告书</w:t>
                  </w:r>
                </w:p>
              </w:tc>
              <w:tc>
                <w:tcPr>
                  <w:tcW w:w="1074" w:type="pct"/>
                  <w:vAlign w:val="center"/>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 w:type="pct"/>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砼结构构件制造、商品混凝土加工</w:t>
                  </w:r>
                </w:p>
              </w:tc>
              <w:tc>
                <w:tcPr>
                  <w:tcW w:w="1025" w:type="pct"/>
                  <w:vAlign w:val="center"/>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w:t>
                  </w:r>
                </w:p>
              </w:tc>
              <w:tc>
                <w:tcPr>
                  <w:tcW w:w="770" w:type="pct"/>
                  <w:vAlign w:val="center"/>
                </w:tcPr>
                <w:p>
                  <w:pPr>
                    <w:keepNext/>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全部</w:t>
                  </w:r>
                </w:p>
              </w:tc>
              <w:tc>
                <w:tcPr>
                  <w:tcW w:w="1109" w:type="pct"/>
                  <w:vAlign w:val="center"/>
                </w:tcPr>
                <w:p>
                  <w:pPr>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w:t>
                  </w:r>
                </w:p>
              </w:tc>
              <w:tc>
                <w:tcPr>
                  <w:tcW w:w="1074" w:type="pct"/>
                  <w:vAlign w:val="center"/>
                </w:tcPr>
                <w:p>
                  <w:pPr>
                    <w:keepLines w:val="0"/>
                    <w:pageBreakBefore w:val="0"/>
                    <w:widowControl w:val="0"/>
                    <w:kinsoku/>
                    <w:wordWrap/>
                    <w:overflowPunct/>
                    <w:topLinePunct w:val="0"/>
                    <w:autoSpaceDE/>
                    <w:autoSpaceDN/>
                    <w:bidi w:val="0"/>
                    <w:adjustRightInd/>
                    <w:snapToGrid/>
                    <w:jc w:val="center"/>
                    <w:textAlignment w:val="auto"/>
                    <w:rPr>
                      <w:rFonts w:cs="Times New Roman"/>
                      <w:sz w:val="21"/>
                    </w:rPr>
                  </w:pPr>
                  <w:r>
                    <w:rPr>
                      <w:rFonts w:cs="Times New Roman"/>
                      <w:sz w:val="21"/>
                    </w:rPr>
                    <w:t>Ⅳ类</w:t>
                  </w:r>
                </w:p>
              </w:tc>
            </w:tr>
          </w:tbl>
          <w:p>
            <w:pPr>
              <w:adjustRightInd w:val="0"/>
              <w:snapToGrid w:val="0"/>
              <w:spacing w:line="360" w:lineRule="auto"/>
              <w:ind w:firstLine="480" w:firstLineChars="200"/>
              <w:jc w:val="left"/>
              <w:rPr>
                <w:rFonts w:cs="Times New Roman"/>
              </w:rPr>
            </w:pPr>
            <w:r>
              <w:rPr>
                <w:rFonts w:cs="Times New Roman"/>
              </w:rPr>
              <w:t>根据《环境影响评价技术导则－地下水环境》（HJ610-2016）附录A，建设项目属于砼结构构件制造、商品混凝土加工，判定本项目类别为Ⅳ类；Ⅳ类</w:t>
            </w:r>
            <w:r>
              <w:rPr>
                <w:rFonts w:cs="Times New Roman"/>
                <w:snapToGrid w:val="0"/>
              </w:rPr>
              <w:t>项目可不开展地下水环境影响评价工作。</w:t>
            </w:r>
          </w:p>
          <w:p>
            <w:pPr>
              <w:tabs>
                <w:tab w:val="left" w:pos="510"/>
              </w:tabs>
              <w:spacing w:line="360" w:lineRule="auto"/>
              <w:ind w:firstLine="480"/>
              <w:rPr>
                <w:rFonts w:cs="Times New Roman"/>
              </w:rPr>
            </w:pPr>
            <w:r>
              <w:rPr>
                <w:rFonts w:cs="Times New Roman"/>
              </w:rPr>
              <w:t>本环评针对地下水保护提出以下几项防范措施：</w:t>
            </w:r>
          </w:p>
          <w:p>
            <w:pPr>
              <w:tabs>
                <w:tab w:val="left" w:pos="510"/>
              </w:tabs>
              <w:spacing w:line="360" w:lineRule="auto"/>
              <w:ind w:firstLine="480"/>
              <w:rPr>
                <w:rFonts w:cs="Times New Roman"/>
              </w:rPr>
            </w:pPr>
            <w:r>
              <w:rPr>
                <w:rFonts w:cs="Times New Roman"/>
              </w:rPr>
              <w:t>（1）对沉淀池进行严格的防渗处理，避免对地下水造成污染。</w:t>
            </w:r>
          </w:p>
          <w:p>
            <w:pPr>
              <w:tabs>
                <w:tab w:val="left" w:pos="510"/>
              </w:tabs>
              <w:spacing w:line="360" w:lineRule="auto"/>
              <w:ind w:firstLine="480"/>
              <w:rPr>
                <w:rFonts w:cs="Times New Roman"/>
              </w:rPr>
            </w:pPr>
            <w:r>
              <w:rPr>
                <w:rFonts w:cs="Times New Roman"/>
              </w:rPr>
              <w:t>（2）原材料、成品堆场不可在厂房外露天储存，防止因雨淋导致污水外溢，污染区域地下水及地表水。</w:t>
            </w:r>
          </w:p>
          <w:p>
            <w:pPr>
              <w:tabs>
                <w:tab w:val="left" w:pos="510"/>
              </w:tabs>
              <w:spacing w:line="360" w:lineRule="auto"/>
              <w:ind w:firstLine="480"/>
              <w:rPr>
                <w:rFonts w:cs="Times New Roman"/>
              </w:rPr>
            </w:pPr>
            <w:r>
              <w:rPr>
                <w:rFonts w:cs="Times New Roman"/>
              </w:rPr>
              <w:t>（3）提高操作人员技术水平，妥善管理，建立严格的生产管理制度，遵守操作规程。</w:t>
            </w:r>
          </w:p>
          <w:p>
            <w:pPr>
              <w:tabs>
                <w:tab w:val="left" w:pos="510"/>
              </w:tabs>
              <w:spacing w:line="360" w:lineRule="auto"/>
              <w:ind w:firstLine="480"/>
              <w:rPr>
                <w:rFonts w:cs="Times New Roman"/>
              </w:rPr>
            </w:pPr>
            <w:r>
              <w:rPr>
                <w:rFonts w:cs="Times New Roman"/>
              </w:rPr>
              <w:t>（4）加强物料运输过程中的管理，不得随地散落。</w:t>
            </w:r>
          </w:p>
          <w:p>
            <w:pPr>
              <w:tabs>
                <w:tab w:val="left" w:pos="510"/>
              </w:tabs>
              <w:spacing w:line="360" w:lineRule="auto"/>
              <w:ind w:firstLine="480"/>
              <w:rPr>
                <w:rFonts w:cs="Times New Roman"/>
              </w:rPr>
            </w:pPr>
            <w:r>
              <w:rPr>
                <w:rFonts w:cs="Times New Roman"/>
              </w:rPr>
              <w:t>综上所述，地下水污染防治措施是可行、可靠的，日常生产对区域地下水影响较小。</w:t>
            </w:r>
          </w:p>
          <w:p>
            <w:pPr>
              <w:pStyle w:val="7"/>
              <w:rPr>
                <w:rFonts w:cs="Times New Roman" w:eastAsiaTheme="minorEastAsia"/>
              </w:rPr>
            </w:pPr>
            <w:r>
              <w:rPr>
                <w:rFonts w:cs="Times New Roman" w:eastAsiaTheme="minorEastAsia"/>
              </w:rPr>
              <w:t>营运期土壤环境影响分析</w:t>
            </w:r>
          </w:p>
          <w:p>
            <w:pPr>
              <w:tabs>
                <w:tab w:val="left" w:pos="510"/>
              </w:tabs>
              <w:spacing w:line="360" w:lineRule="auto"/>
              <w:ind w:firstLine="480"/>
              <w:rPr>
                <w:rFonts w:cs="Times New Roman"/>
              </w:rPr>
            </w:pPr>
            <w:r>
              <w:rPr>
                <w:rFonts w:cs="Times New Roman"/>
              </w:rPr>
              <w:t>本项目为污染影响型项目，按照《环境影响评价技术导则—土壤环境（试行）》（HJ964-2018）“第 6.2.2 污染影响型”中有关规定，根据土壤环境影响评价项目类别、占地规模与敏感程度划分评价工作等级，土壤环境影响评价工作等级划分见下表所示。</w:t>
            </w:r>
          </w:p>
          <w:p>
            <w:pPr>
              <w:keepNext/>
              <w:tabs>
                <w:tab w:val="left" w:pos="510"/>
              </w:tabs>
              <w:ind w:firstLine="482"/>
              <w:jc w:val="center"/>
              <w:rPr>
                <w:rFonts w:cs="Times New Roman"/>
                <w:b/>
                <w:sz w:val="21"/>
              </w:rPr>
            </w:pPr>
            <w:r>
              <w:rPr>
                <w:rFonts w:cs="Times New Roman"/>
                <w:b/>
                <w:sz w:val="21"/>
              </w:rPr>
              <w:t>表7.2-2</w:t>
            </w:r>
            <w:r>
              <w:rPr>
                <w:rFonts w:hint="eastAsia" w:cs="Times New Roman"/>
                <w:b/>
                <w:sz w:val="21"/>
              </w:rPr>
              <w:t>4</w:t>
            </w:r>
            <w:r>
              <w:rPr>
                <w:rFonts w:cs="Times New Roman"/>
                <w:b/>
                <w:sz w:val="21"/>
              </w:rPr>
              <w:t xml:space="preserve"> </w:t>
            </w:r>
            <w:r>
              <w:rPr>
                <w:rFonts w:cs="Times New Roman"/>
                <w:b/>
                <w:bCs/>
                <w:sz w:val="21"/>
              </w:rPr>
              <w:t>污染影响评价工作等级划分表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778"/>
              <w:gridCol w:w="778"/>
              <w:gridCol w:w="778"/>
              <w:gridCol w:w="778"/>
              <w:gridCol w:w="778"/>
              <w:gridCol w:w="779"/>
              <w:gridCol w:w="779"/>
              <w:gridCol w:w="779"/>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restart"/>
                  <w:tcBorders>
                    <w:top w:val="single" w:color="auto" w:sz="4" w:space="0"/>
                    <w:left w:val="single" w:color="auto" w:sz="0" w:space="0"/>
                    <w:tl2br w:val="single" w:color="auto" w:sz="4" w:space="0"/>
                  </w:tcBorders>
                </w:tcPr>
                <w:p>
                  <w:pPr>
                    <w:pStyle w:val="15"/>
                    <w:adjustRightInd w:val="0"/>
                    <w:snapToGrid w:val="0"/>
                    <w:spacing w:line="240" w:lineRule="auto"/>
                    <w:jc w:val="right"/>
                    <w:rPr>
                      <w:rFonts w:cs="Times New Roman" w:eastAsiaTheme="minorEastAsia"/>
                      <w:b w:val="0"/>
                      <w:sz w:val="21"/>
                      <w:szCs w:val="21"/>
                    </w:rPr>
                  </w:pPr>
                  <w:r>
                    <w:rPr>
                      <w:rFonts w:cs="Times New Roman" w:eastAsiaTheme="minorEastAsia"/>
                      <w:b w:val="0"/>
                      <w:sz w:val="21"/>
                      <w:szCs w:val="21"/>
                    </w:rPr>
                    <w:t>等级</w:t>
                  </w:r>
                </w:p>
                <w:p>
                  <w:pPr>
                    <w:adjustRightInd w:val="0"/>
                    <w:snapToGrid w:val="0"/>
                    <w:jc w:val="left"/>
                    <w:rPr>
                      <w:rFonts w:cs="Times New Roman"/>
                      <w:sz w:val="21"/>
                    </w:rPr>
                  </w:pPr>
                  <w:r>
                    <w:rPr>
                      <w:rFonts w:cs="Times New Roman"/>
                      <w:sz w:val="21"/>
                    </w:rPr>
                    <w:t>敏感程度</w:t>
                  </w:r>
                </w:p>
              </w:tc>
              <w:tc>
                <w:tcPr>
                  <w:tcW w:w="1407" w:type="pct"/>
                  <w:gridSpan w:val="3"/>
                  <w:tcBorders>
                    <w:top w:val="single" w:color="auto" w:sz="4" w:space="0"/>
                  </w:tcBorders>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Ⅰ类</w:t>
                  </w:r>
                </w:p>
              </w:tc>
              <w:tc>
                <w:tcPr>
                  <w:tcW w:w="1407" w:type="pct"/>
                  <w:gridSpan w:val="3"/>
                  <w:tcBorders>
                    <w:top w:val="single" w:color="auto" w:sz="4" w:space="0"/>
                  </w:tcBorders>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Ⅱ类</w:t>
                  </w:r>
                </w:p>
              </w:tc>
              <w:tc>
                <w:tcPr>
                  <w:tcW w:w="1407" w:type="pct"/>
                  <w:gridSpan w:val="3"/>
                  <w:tcBorders>
                    <w:top w:val="single" w:color="auto" w:sz="4" w:space="0"/>
                    <w:right w:val="single" w:color="auto" w:sz="4" w:space="0"/>
                  </w:tcBorders>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left w:val="single" w:color="auto" w:sz="2" w:space="0"/>
                  </w:tcBorders>
                </w:tcPr>
                <w:p>
                  <w:pPr>
                    <w:pStyle w:val="15"/>
                    <w:adjustRightInd w:val="0"/>
                    <w:snapToGrid w:val="0"/>
                    <w:spacing w:line="240" w:lineRule="auto"/>
                    <w:rPr>
                      <w:rFonts w:cs="Times New Roman" w:eastAsiaTheme="minorEastAsia"/>
                      <w:b w:val="0"/>
                      <w:sz w:val="21"/>
                      <w:szCs w:val="21"/>
                    </w:rPr>
                  </w:pPr>
                </w:p>
              </w:tc>
              <w:tc>
                <w:tcPr>
                  <w:tcW w:w="469"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大</w:t>
                  </w:r>
                </w:p>
              </w:tc>
              <w:tc>
                <w:tcPr>
                  <w:tcW w:w="469"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中</w:t>
                  </w:r>
                </w:p>
              </w:tc>
              <w:tc>
                <w:tcPr>
                  <w:tcW w:w="469"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小</w:t>
                  </w:r>
                </w:p>
              </w:tc>
              <w:tc>
                <w:tcPr>
                  <w:tcW w:w="469"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大</w:t>
                  </w:r>
                </w:p>
              </w:tc>
              <w:tc>
                <w:tcPr>
                  <w:tcW w:w="469"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中</w:t>
                  </w:r>
                </w:p>
              </w:tc>
              <w:tc>
                <w:tcPr>
                  <w:tcW w:w="469"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小</w:t>
                  </w:r>
                </w:p>
              </w:tc>
              <w:tc>
                <w:tcPr>
                  <w:tcW w:w="469"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大</w:t>
                  </w:r>
                </w:p>
              </w:tc>
              <w:tc>
                <w:tcPr>
                  <w:tcW w:w="469" w:type="pct"/>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中</w:t>
                  </w:r>
                </w:p>
              </w:tc>
              <w:tc>
                <w:tcPr>
                  <w:tcW w:w="469" w:type="pct"/>
                  <w:tcBorders>
                    <w:right w:val="single" w:color="auto" w:sz="4" w:space="0"/>
                  </w:tcBorders>
                  <w:vAlign w:val="center"/>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Borders>
                    <w:left w:val="single" w:color="auto" w:sz="4" w:space="0"/>
                  </w:tcBorders>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敏感</w:t>
                  </w:r>
                </w:p>
              </w:tc>
              <w:tc>
                <w:tcPr>
                  <w:tcW w:w="469" w:type="pct"/>
                  <w:vAlign w:val="center"/>
                </w:tcPr>
                <w:p>
                  <w:pPr>
                    <w:adjustRightInd w:val="0"/>
                    <w:snapToGrid w:val="0"/>
                    <w:jc w:val="center"/>
                    <w:rPr>
                      <w:rFonts w:cs="Times New Roman"/>
                      <w:kern w:val="0"/>
                      <w:sz w:val="21"/>
                    </w:rPr>
                  </w:pPr>
                  <w:r>
                    <w:rPr>
                      <w:rFonts w:cs="Times New Roman"/>
                      <w:kern w:val="0"/>
                      <w:sz w:val="21"/>
                    </w:rPr>
                    <w:t>一级</w:t>
                  </w:r>
                </w:p>
              </w:tc>
              <w:tc>
                <w:tcPr>
                  <w:tcW w:w="469" w:type="pct"/>
                  <w:vAlign w:val="center"/>
                </w:tcPr>
                <w:p>
                  <w:pPr>
                    <w:adjustRightInd w:val="0"/>
                    <w:snapToGrid w:val="0"/>
                    <w:jc w:val="center"/>
                    <w:rPr>
                      <w:rFonts w:cs="Times New Roman"/>
                      <w:kern w:val="0"/>
                      <w:sz w:val="21"/>
                    </w:rPr>
                  </w:pPr>
                  <w:r>
                    <w:rPr>
                      <w:rFonts w:cs="Times New Roman"/>
                      <w:kern w:val="0"/>
                      <w:sz w:val="21"/>
                    </w:rPr>
                    <w:t>一级</w:t>
                  </w:r>
                </w:p>
              </w:tc>
              <w:tc>
                <w:tcPr>
                  <w:tcW w:w="469" w:type="pct"/>
                  <w:vAlign w:val="center"/>
                </w:tcPr>
                <w:p>
                  <w:pPr>
                    <w:adjustRightInd w:val="0"/>
                    <w:snapToGrid w:val="0"/>
                    <w:jc w:val="center"/>
                    <w:rPr>
                      <w:rFonts w:cs="Times New Roman"/>
                      <w:kern w:val="0"/>
                      <w:sz w:val="21"/>
                    </w:rPr>
                  </w:pPr>
                  <w:r>
                    <w:rPr>
                      <w:rFonts w:cs="Times New Roman"/>
                      <w:kern w:val="0"/>
                      <w:sz w:val="21"/>
                    </w:rPr>
                    <w:t>一级</w:t>
                  </w:r>
                </w:p>
              </w:tc>
              <w:tc>
                <w:tcPr>
                  <w:tcW w:w="469" w:type="pct"/>
                  <w:vAlign w:val="center"/>
                </w:tcPr>
                <w:p>
                  <w:pPr>
                    <w:adjustRightInd w:val="0"/>
                    <w:snapToGrid w:val="0"/>
                    <w:jc w:val="center"/>
                    <w:rPr>
                      <w:rFonts w:cs="Times New Roman"/>
                      <w:kern w:val="0"/>
                      <w:sz w:val="21"/>
                    </w:rPr>
                  </w:pPr>
                  <w:r>
                    <w:rPr>
                      <w:rFonts w:cs="Times New Roman"/>
                      <w:kern w:val="0"/>
                      <w:sz w:val="21"/>
                    </w:rPr>
                    <w:t>二级</w:t>
                  </w:r>
                </w:p>
              </w:tc>
              <w:tc>
                <w:tcPr>
                  <w:tcW w:w="469" w:type="pct"/>
                  <w:vAlign w:val="center"/>
                </w:tcPr>
                <w:p>
                  <w:pPr>
                    <w:adjustRightInd w:val="0"/>
                    <w:snapToGrid w:val="0"/>
                    <w:jc w:val="center"/>
                    <w:rPr>
                      <w:rFonts w:cs="Times New Roman"/>
                      <w:kern w:val="0"/>
                      <w:sz w:val="21"/>
                    </w:rPr>
                  </w:pPr>
                  <w:r>
                    <w:rPr>
                      <w:rFonts w:cs="Times New Roman"/>
                      <w:kern w:val="0"/>
                      <w:sz w:val="21"/>
                    </w:rPr>
                    <w:t>二级</w:t>
                  </w:r>
                </w:p>
              </w:tc>
              <w:tc>
                <w:tcPr>
                  <w:tcW w:w="469" w:type="pct"/>
                  <w:vAlign w:val="center"/>
                </w:tcPr>
                <w:p>
                  <w:pPr>
                    <w:adjustRightInd w:val="0"/>
                    <w:snapToGrid w:val="0"/>
                    <w:jc w:val="center"/>
                    <w:rPr>
                      <w:rFonts w:cs="Times New Roman"/>
                      <w:kern w:val="0"/>
                      <w:sz w:val="21"/>
                    </w:rPr>
                  </w:pPr>
                  <w:r>
                    <w:rPr>
                      <w:rFonts w:cs="Times New Roman"/>
                      <w:kern w:val="0"/>
                      <w:sz w:val="21"/>
                    </w:rPr>
                    <w:t>二级</w:t>
                  </w:r>
                </w:p>
              </w:tc>
              <w:tc>
                <w:tcPr>
                  <w:tcW w:w="469" w:type="pct"/>
                  <w:vAlign w:val="center"/>
                </w:tcPr>
                <w:p>
                  <w:pPr>
                    <w:adjustRightInd w:val="0"/>
                    <w:snapToGrid w:val="0"/>
                    <w:jc w:val="center"/>
                    <w:rPr>
                      <w:rFonts w:cs="Times New Roman"/>
                      <w:kern w:val="0"/>
                      <w:sz w:val="21"/>
                    </w:rPr>
                  </w:pPr>
                  <w:r>
                    <w:rPr>
                      <w:rFonts w:cs="Times New Roman"/>
                      <w:kern w:val="0"/>
                      <w:sz w:val="21"/>
                    </w:rPr>
                    <w:t>三级</w:t>
                  </w:r>
                </w:p>
              </w:tc>
              <w:tc>
                <w:tcPr>
                  <w:tcW w:w="469" w:type="pct"/>
                  <w:vAlign w:val="center"/>
                </w:tcPr>
                <w:p>
                  <w:pPr>
                    <w:adjustRightInd w:val="0"/>
                    <w:snapToGrid w:val="0"/>
                    <w:jc w:val="center"/>
                    <w:rPr>
                      <w:rFonts w:cs="Times New Roman"/>
                      <w:kern w:val="0"/>
                      <w:sz w:val="21"/>
                    </w:rPr>
                  </w:pPr>
                  <w:r>
                    <w:rPr>
                      <w:rFonts w:cs="Times New Roman"/>
                      <w:kern w:val="0"/>
                      <w:sz w:val="21"/>
                    </w:rPr>
                    <w:t>三级</w:t>
                  </w:r>
                </w:p>
              </w:tc>
              <w:tc>
                <w:tcPr>
                  <w:tcW w:w="469" w:type="pct"/>
                  <w:tcBorders>
                    <w:right w:val="single" w:color="auto" w:sz="4" w:space="0"/>
                  </w:tcBorders>
                  <w:vAlign w:val="center"/>
                </w:tcPr>
                <w:p>
                  <w:pPr>
                    <w:adjustRightInd w:val="0"/>
                    <w:snapToGrid w:val="0"/>
                    <w:jc w:val="center"/>
                    <w:rPr>
                      <w:rFonts w:cs="Times New Roman"/>
                      <w:sz w:val="21"/>
                    </w:rPr>
                  </w:pPr>
                  <w:r>
                    <w:rPr>
                      <w:rFonts w:cs="Times New Roman"/>
                      <w:kern w:val="0"/>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Borders>
                    <w:left w:val="single" w:color="auto" w:sz="4" w:space="0"/>
                  </w:tcBorders>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较敏感</w:t>
                  </w:r>
                </w:p>
              </w:tc>
              <w:tc>
                <w:tcPr>
                  <w:tcW w:w="469" w:type="pct"/>
                  <w:vAlign w:val="center"/>
                </w:tcPr>
                <w:p>
                  <w:pPr>
                    <w:adjustRightInd w:val="0"/>
                    <w:snapToGrid w:val="0"/>
                    <w:jc w:val="center"/>
                    <w:rPr>
                      <w:rFonts w:cs="Times New Roman"/>
                      <w:kern w:val="0"/>
                      <w:sz w:val="21"/>
                    </w:rPr>
                  </w:pPr>
                  <w:r>
                    <w:rPr>
                      <w:rFonts w:cs="Times New Roman"/>
                      <w:kern w:val="0"/>
                      <w:sz w:val="21"/>
                    </w:rPr>
                    <w:t>一级</w:t>
                  </w:r>
                </w:p>
              </w:tc>
              <w:tc>
                <w:tcPr>
                  <w:tcW w:w="469" w:type="pct"/>
                  <w:vAlign w:val="center"/>
                </w:tcPr>
                <w:p>
                  <w:pPr>
                    <w:adjustRightInd w:val="0"/>
                    <w:snapToGrid w:val="0"/>
                    <w:jc w:val="center"/>
                    <w:rPr>
                      <w:rFonts w:cs="Times New Roman"/>
                      <w:kern w:val="0"/>
                      <w:sz w:val="21"/>
                    </w:rPr>
                  </w:pPr>
                  <w:r>
                    <w:rPr>
                      <w:rFonts w:cs="Times New Roman"/>
                      <w:kern w:val="0"/>
                      <w:sz w:val="21"/>
                    </w:rPr>
                    <w:t>一级</w:t>
                  </w:r>
                </w:p>
              </w:tc>
              <w:tc>
                <w:tcPr>
                  <w:tcW w:w="469" w:type="pct"/>
                  <w:vAlign w:val="center"/>
                </w:tcPr>
                <w:p>
                  <w:pPr>
                    <w:adjustRightInd w:val="0"/>
                    <w:snapToGrid w:val="0"/>
                    <w:jc w:val="center"/>
                    <w:rPr>
                      <w:rFonts w:cs="Times New Roman"/>
                      <w:kern w:val="0"/>
                      <w:sz w:val="21"/>
                    </w:rPr>
                  </w:pPr>
                  <w:r>
                    <w:rPr>
                      <w:rFonts w:cs="Times New Roman"/>
                      <w:kern w:val="0"/>
                      <w:sz w:val="21"/>
                    </w:rPr>
                    <w:t>二级</w:t>
                  </w:r>
                </w:p>
              </w:tc>
              <w:tc>
                <w:tcPr>
                  <w:tcW w:w="469" w:type="pct"/>
                  <w:vAlign w:val="center"/>
                </w:tcPr>
                <w:p>
                  <w:pPr>
                    <w:adjustRightInd w:val="0"/>
                    <w:snapToGrid w:val="0"/>
                    <w:jc w:val="center"/>
                    <w:rPr>
                      <w:rFonts w:cs="Times New Roman"/>
                      <w:kern w:val="0"/>
                      <w:sz w:val="21"/>
                    </w:rPr>
                  </w:pPr>
                  <w:r>
                    <w:rPr>
                      <w:rFonts w:cs="Times New Roman"/>
                      <w:kern w:val="0"/>
                      <w:sz w:val="21"/>
                    </w:rPr>
                    <w:t>二级</w:t>
                  </w:r>
                </w:p>
              </w:tc>
              <w:tc>
                <w:tcPr>
                  <w:tcW w:w="469" w:type="pct"/>
                  <w:tcBorders>
                    <w:bottom w:val="single" w:color="auto" w:sz="4" w:space="0"/>
                  </w:tcBorders>
                  <w:vAlign w:val="center"/>
                </w:tcPr>
                <w:p>
                  <w:pPr>
                    <w:adjustRightInd w:val="0"/>
                    <w:snapToGrid w:val="0"/>
                    <w:jc w:val="center"/>
                    <w:rPr>
                      <w:rFonts w:cs="Times New Roman"/>
                      <w:kern w:val="0"/>
                      <w:sz w:val="21"/>
                    </w:rPr>
                  </w:pPr>
                  <w:r>
                    <w:rPr>
                      <w:rFonts w:cs="Times New Roman"/>
                      <w:kern w:val="0"/>
                      <w:sz w:val="21"/>
                    </w:rPr>
                    <w:t>二级</w:t>
                  </w:r>
                </w:p>
              </w:tc>
              <w:tc>
                <w:tcPr>
                  <w:tcW w:w="469" w:type="pct"/>
                  <w:tcBorders>
                    <w:bottom w:val="single" w:color="auto" w:sz="4" w:space="0"/>
                  </w:tcBorders>
                  <w:vAlign w:val="center"/>
                </w:tcPr>
                <w:p>
                  <w:pPr>
                    <w:adjustRightInd w:val="0"/>
                    <w:snapToGrid w:val="0"/>
                    <w:jc w:val="center"/>
                    <w:rPr>
                      <w:rFonts w:cs="Times New Roman"/>
                      <w:kern w:val="0"/>
                      <w:sz w:val="21"/>
                    </w:rPr>
                  </w:pPr>
                  <w:r>
                    <w:rPr>
                      <w:rFonts w:cs="Times New Roman"/>
                      <w:kern w:val="0"/>
                      <w:sz w:val="21"/>
                    </w:rPr>
                    <w:t>三级</w:t>
                  </w:r>
                </w:p>
              </w:tc>
              <w:tc>
                <w:tcPr>
                  <w:tcW w:w="469" w:type="pct"/>
                  <w:vAlign w:val="center"/>
                </w:tcPr>
                <w:p>
                  <w:pPr>
                    <w:adjustRightInd w:val="0"/>
                    <w:snapToGrid w:val="0"/>
                    <w:jc w:val="center"/>
                    <w:rPr>
                      <w:rFonts w:cs="Times New Roman"/>
                      <w:kern w:val="0"/>
                      <w:sz w:val="21"/>
                    </w:rPr>
                  </w:pPr>
                  <w:r>
                    <w:rPr>
                      <w:rFonts w:cs="Times New Roman"/>
                      <w:kern w:val="0"/>
                      <w:sz w:val="21"/>
                    </w:rPr>
                    <w:t>三级</w:t>
                  </w:r>
                </w:p>
              </w:tc>
              <w:tc>
                <w:tcPr>
                  <w:tcW w:w="469" w:type="pct"/>
                  <w:vAlign w:val="center"/>
                </w:tcPr>
                <w:p>
                  <w:pPr>
                    <w:adjustRightInd w:val="0"/>
                    <w:snapToGrid w:val="0"/>
                    <w:jc w:val="center"/>
                    <w:rPr>
                      <w:rFonts w:cs="Times New Roman"/>
                      <w:kern w:val="0"/>
                      <w:sz w:val="21"/>
                    </w:rPr>
                  </w:pPr>
                  <w:r>
                    <w:rPr>
                      <w:rFonts w:cs="Times New Roman"/>
                      <w:kern w:val="0"/>
                      <w:sz w:val="21"/>
                    </w:rPr>
                    <w:t>三级</w:t>
                  </w:r>
                </w:p>
              </w:tc>
              <w:tc>
                <w:tcPr>
                  <w:tcW w:w="469" w:type="pct"/>
                  <w:tcBorders>
                    <w:right w:val="single" w:color="auto" w:sz="4" w:space="0"/>
                  </w:tcBorders>
                  <w:vAlign w:val="center"/>
                </w:tcPr>
                <w:p>
                  <w:pPr>
                    <w:adjustRightInd w:val="0"/>
                    <w:snapToGrid w:val="0"/>
                    <w:jc w:val="center"/>
                    <w:rPr>
                      <w:rFonts w:cs="Times New Roman"/>
                      <w:sz w:val="21"/>
                    </w:rPr>
                  </w:pPr>
                  <w:r>
                    <w:rPr>
                      <w:rFonts w:cs="Times New Roman"/>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Borders>
                    <w:left w:val="single" w:color="auto" w:sz="4" w:space="0"/>
                  </w:tcBorders>
                  <w:shd w:val="clear" w:color="auto" w:fill="auto"/>
                </w:tcPr>
                <w:p>
                  <w:pPr>
                    <w:pStyle w:val="15"/>
                    <w:adjustRightInd w:val="0"/>
                    <w:snapToGrid w:val="0"/>
                    <w:spacing w:line="240" w:lineRule="auto"/>
                    <w:rPr>
                      <w:rFonts w:cs="Times New Roman" w:eastAsiaTheme="minorEastAsia"/>
                      <w:b w:val="0"/>
                      <w:sz w:val="21"/>
                      <w:szCs w:val="21"/>
                    </w:rPr>
                  </w:pPr>
                  <w:r>
                    <w:rPr>
                      <w:rFonts w:cs="Times New Roman" w:eastAsiaTheme="minorEastAsia"/>
                      <w:b w:val="0"/>
                      <w:sz w:val="21"/>
                      <w:szCs w:val="21"/>
                    </w:rPr>
                    <w:t>不敏感</w:t>
                  </w:r>
                </w:p>
              </w:tc>
              <w:tc>
                <w:tcPr>
                  <w:tcW w:w="469" w:type="pct"/>
                  <w:shd w:val="clear" w:color="auto" w:fill="auto"/>
                  <w:vAlign w:val="center"/>
                </w:tcPr>
                <w:p>
                  <w:pPr>
                    <w:adjustRightInd w:val="0"/>
                    <w:snapToGrid w:val="0"/>
                    <w:jc w:val="center"/>
                    <w:rPr>
                      <w:rFonts w:cs="Times New Roman"/>
                      <w:kern w:val="0"/>
                      <w:sz w:val="21"/>
                    </w:rPr>
                  </w:pPr>
                  <w:r>
                    <w:rPr>
                      <w:rFonts w:cs="Times New Roman"/>
                      <w:kern w:val="0"/>
                      <w:sz w:val="21"/>
                    </w:rPr>
                    <w:t>一级</w:t>
                  </w:r>
                </w:p>
              </w:tc>
              <w:tc>
                <w:tcPr>
                  <w:tcW w:w="469" w:type="pct"/>
                  <w:shd w:val="clear" w:color="auto" w:fill="auto"/>
                  <w:vAlign w:val="center"/>
                </w:tcPr>
                <w:p>
                  <w:pPr>
                    <w:adjustRightInd w:val="0"/>
                    <w:snapToGrid w:val="0"/>
                    <w:jc w:val="center"/>
                    <w:rPr>
                      <w:rFonts w:cs="Times New Roman"/>
                      <w:kern w:val="0"/>
                      <w:sz w:val="21"/>
                    </w:rPr>
                  </w:pPr>
                  <w:r>
                    <w:rPr>
                      <w:rFonts w:cs="Times New Roman"/>
                      <w:kern w:val="0"/>
                      <w:sz w:val="21"/>
                    </w:rPr>
                    <w:t>二级</w:t>
                  </w:r>
                </w:p>
              </w:tc>
              <w:tc>
                <w:tcPr>
                  <w:tcW w:w="469" w:type="pct"/>
                  <w:shd w:val="clear" w:color="auto" w:fill="auto"/>
                  <w:vAlign w:val="center"/>
                </w:tcPr>
                <w:p>
                  <w:pPr>
                    <w:adjustRightInd w:val="0"/>
                    <w:snapToGrid w:val="0"/>
                    <w:jc w:val="center"/>
                    <w:rPr>
                      <w:rFonts w:cs="Times New Roman"/>
                      <w:kern w:val="0"/>
                      <w:sz w:val="21"/>
                    </w:rPr>
                  </w:pPr>
                  <w:r>
                    <w:rPr>
                      <w:rFonts w:cs="Times New Roman"/>
                      <w:kern w:val="0"/>
                      <w:sz w:val="21"/>
                    </w:rPr>
                    <w:t>二级</w:t>
                  </w:r>
                </w:p>
              </w:tc>
              <w:tc>
                <w:tcPr>
                  <w:tcW w:w="469" w:type="pct"/>
                  <w:shd w:val="clear" w:color="auto" w:fill="auto"/>
                  <w:vAlign w:val="center"/>
                </w:tcPr>
                <w:p>
                  <w:pPr>
                    <w:adjustRightInd w:val="0"/>
                    <w:snapToGrid w:val="0"/>
                    <w:jc w:val="center"/>
                    <w:rPr>
                      <w:rFonts w:cs="Times New Roman"/>
                      <w:kern w:val="0"/>
                      <w:sz w:val="21"/>
                    </w:rPr>
                  </w:pPr>
                  <w:r>
                    <w:rPr>
                      <w:rFonts w:cs="Times New Roman"/>
                      <w:kern w:val="0"/>
                      <w:sz w:val="21"/>
                    </w:rPr>
                    <w:t>二级</w:t>
                  </w:r>
                </w:p>
              </w:tc>
              <w:tc>
                <w:tcPr>
                  <w:tcW w:w="469" w:type="pct"/>
                  <w:shd w:val="clear" w:color="auto" w:fill="FFFFFF" w:themeFill="background1"/>
                  <w:vAlign w:val="center"/>
                </w:tcPr>
                <w:p>
                  <w:pPr>
                    <w:adjustRightInd w:val="0"/>
                    <w:snapToGrid w:val="0"/>
                    <w:jc w:val="center"/>
                    <w:rPr>
                      <w:rFonts w:cs="Times New Roman"/>
                      <w:kern w:val="0"/>
                      <w:sz w:val="21"/>
                    </w:rPr>
                  </w:pPr>
                  <w:r>
                    <w:rPr>
                      <w:rFonts w:cs="Times New Roman"/>
                      <w:kern w:val="0"/>
                      <w:sz w:val="21"/>
                    </w:rPr>
                    <w:t>三级</w:t>
                  </w:r>
                </w:p>
              </w:tc>
              <w:tc>
                <w:tcPr>
                  <w:tcW w:w="469" w:type="pct"/>
                  <w:shd w:val="clear" w:color="auto" w:fill="92D050"/>
                  <w:vAlign w:val="center"/>
                </w:tcPr>
                <w:p>
                  <w:pPr>
                    <w:adjustRightInd w:val="0"/>
                    <w:snapToGrid w:val="0"/>
                    <w:jc w:val="center"/>
                    <w:rPr>
                      <w:rFonts w:cs="Times New Roman"/>
                      <w:kern w:val="0"/>
                      <w:sz w:val="21"/>
                    </w:rPr>
                  </w:pPr>
                  <w:r>
                    <w:rPr>
                      <w:rFonts w:cs="Times New Roman"/>
                      <w:kern w:val="0"/>
                      <w:sz w:val="21"/>
                    </w:rPr>
                    <w:t>三级</w:t>
                  </w:r>
                </w:p>
              </w:tc>
              <w:tc>
                <w:tcPr>
                  <w:tcW w:w="469" w:type="pct"/>
                  <w:vAlign w:val="center"/>
                </w:tcPr>
                <w:p>
                  <w:pPr>
                    <w:adjustRightInd w:val="0"/>
                    <w:snapToGrid w:val="0"/>
                    <w:jc w:val="center"/>
                    <w:rPr>
                      <w:rFonts w:cs="Times New Roman"/>
                      <w:kern w:val="0"/>
                      <w:sz w:val="21"/>
                    </w:rPr>
                  </w:pPr>
                  <w:r>
                    <w:rPr>
                      <w:rFonts w:cs="Times New Roman"/>
                      <w:kern w:val="0"/>
                      <w:sz w:val="21"/>
                    </w:rPr>
                    <w:t>三级</w:t>
                  </w:r>
                </w:p>
              </w:tc>
              <w:tc>
                <w:tcPr>
                  <w:tcW w:w="469" w:type="pct"/>
                  <w:vAlign w:val="center"/>
                </w:tcPr>
                <w:p>
                  <w:pPr>
                    <w:adjustRightInd w:val="0"/>
                    <w:snapToGrid w:val="0"/>
                    <w:jc w:val="center"/>
                    <w:rPr>
                      <w:rFonts w:cs="Times New Roman"/>
                      <w:kern w:val="0"/>
                      <w:sz w:val="21"/>
                    </w:rPr>
                  </w:pPr>
                  <w:r>
                    <w:rPr>
                      <w:rFonts w:cs="Times New Roman"/>
                      <w:kern w:val="0"/>
                      <w:sz w:val="21"/>
                    </w:rPr>
                    <w:t>—</w:t>
                  </w:r>
                </w:p>
              </w:tc>
              <w:tc>
                <w:tcPr>
                  <w:tcW w:w="469" w:type="pct"/>
                  <w:tcBorders>
                    <w:right w:val="single" w:color="auto" w:sz="4" w:space="0"/>
                  </w:tcBorders>
                  <w:vAlign w:val="center"/>
                </w:tcPr>
                <w:p>
                  <w:pPr>
                    <w:adjustRightInd w:val="0"/>
                    <w:snapToGrid w:val="0"/>
                    <w:jc w:val="center"/>
                    <w:rPr>
                      <w:rFonts w:cs="Times New Roman"/>
                      <w:sz w:val="21"/>
                    </w:rPr>
                  </w:pPr>
                  <w:r>
                    <w:rPr>
                      <w:rFonts w:cs="Times New Roman"/>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tcBorders>
                    <w:left w:val="single" w:color="auto" w:sz="4" w:space="0"/>
                    <w:bottom w:val="single" w:color="auto" w:sz="4" w:space="0"/>
                    <w:right w:val="single" w:color="auto" w:sz="4" w:space="0"/>
                  </w:tcBorders>
                </w:tcPr>
                <w:p>
                  <w:pPr>
                    <w:pStyle w:val="15"/>
                    <w:adjustRightInd w:val="0"/>
                    <w:snapToGrid w:val="0"/>
                    <w:spacing w:line="240" w:lineRule="auto"/>
                    <w:jc w:val="both"/>
                    <w:rPr>
                      <w:rFonts w:cs="Times New Roman" w:eastAsiaTheme="minorEastAsia"/>
                      <w:b w:val="0"/>
                      <w:sz w:val="21"/>
                      <w:szCs w:val="21"/>
                    </w:rPr>
                  </w:pPr>
                  <w:r>
                    <w:rPr>
                      <w:rFonts w:cs="Times New Roman" w:eastAsiaTheme="minorEastAsia"/>
                      <w:b w:val="0"/>
                      <w:kern w:val="0"/>
                      <w:sz w:val="21"/>
                      <w:szCs w:val="21"/>
                    </w:rPr>
                    <w:t>注：“—”表示可不开展环境影响评价工作。</w:t>
                  </w:r>
                </w:p>
              </w:tc>
            </w:tr>
          </w:tbl>
          <w:p>
            <w:pPr>
              <w:spacing w:line="360" w:lineRule="auto"/>
              <w:ind w:firstLine="480" w:firstLineChars="200"/>
              <w:rPr>
                <w:rFonts w:cs="Times New Roman"/>
                <w:snapToGrid w:val="0"/>
              </w:rPr>
            </w:pPr>
            <w:r>
              <w:rPr>
                <w:rFonts w:cs="Times New Roman"/>
              </w:rPr>
              <w:t>本项目为制造业中的其它行业，对照</w:t>
            </w:r>
            <w:r>
              <w:rPr>
                <w:rFonts w:cs="Times New Roman"/>
                <w:snapToGrid w:val="0"/>
              </w:rPr>
              <w:t>环境影响评价技术导则—土壤环境（试行）》（HJ964-2018）“附录A（规范性附录）”中识别建设项目所属行业的土壤环境影响评价项目类别，本项目属于Ⅲ类项目，本项目建设地点位于</w:t>
            </w:r>
            <w:r>
              <w:rPr>
                <w:rFonts w:cs="Times New Roman"/>
                <w:color w:val="000000" w:themeColor="text1"/>
                <w:szCs w:val="20"/>
              </w:rPr>
              <w:t>湖南省岳阳市临港新区长江大道东侧，江一路南侧，评价范围邻近都是厂区，无农田等土壤环境保护区，</w:t>
            </w:r>
            <w:r>
              <w:rPr>
                <w:rFonts w:cs="Times New Roman"/>
                <w:snapToGrid w:val="0"/>
              </w:rPr>
              <w:t>则周边的土壤敏感程度为不敏感，项目永久性占地规模为</w:t>
            </w:r>
            <w:r>
              <w:rPr>
                <w:rFonts w:hint="eastAsia" w:cs="Times New Roman"/>
                <w:snapToGrid w:val="0"/>
              </w:rPr>
              <w:t>1.74</w:t>
            </w:r>
            <w:r>
              <w:rPr>
                <w:rFonts w:cs="Times New Roman"/>
                <w:snapToGrid w:val="0"/>
              </w:rPr>
              <w:t>hm</w:t>
            </w:r>
            <w:r>
              <w:rPr>
                <w:rFonts w:cs="Times New Roman"/>
                <w:snapToGrid w:val="0"/>
                <w:vertAlign w:val="superscript"/>
              </w:rPr>
              <w:t>2</w:t>
            </w:r>
            <w:r>
              <w:rPr>
                <w:rFonts w:cs="Times New Roman"/>
                <w:snapToGrid w:val="0"/>
              </w:rPr>
              <w:t>，属于中型。根据《环境影响评价技术导则—土壤环境（试行）》（HJ964-2018）表4污染影响型评价工作等级划分表可知，占地规模为小型且不敏感的Ⅲ类项目，可不开展土壤环境影响评价工作。</w:t>
            </w:r>
          </w:p>
          <w:p>
            <w:pPr>
              <w:pStyle w:val="7"/>
              <w:rPr>
                <w:rFonts w:cs="Times New Roman" w:eastAsiaTheme="minorEastAsia"/>
              </w:rPr>
            </w:pPr>
            <w:r>
              <w:rPr>
                <w:rFonts w:cs="Times New Roman" w:eastAsiaTheme="minorEastAsia"/>
              </w:rPr>
              <w:t>环境风险评价</w:t>
            </w:r>
          </w:p>
          <w:p>
            <w:pPr>
              <w:adjustRightInd w:val="0"/>
              <w:snapToGrid w:val="0"/>
              <w:spacing w:line="360" w:lineRule="auto"/>
              <w:ind w:firstLine="480" w:firstLineChars="200"/>
              <w:rPr>
                <w:rFonts w:cs="Times New Roman"/>
                <w:snapToGrid w:val="0"/>
              </w:rPr>
            </w:pPr>
            <w:r>
              <w:rPr>
                <w:rFonts w:cs="Times New Roman"/>
                <w:snapToGrid w:val="0"/>
              </w:rPr>
              <w:t>环境风险评价是以突发性事故导致的危险物质环境应急性损害防控为目标，对建设项目的环境风险进行分析、预测和评估，提出环境风险预防、控制、减缓措施，明确环境风险监控及应急建议要求，为建设项目环境风险防控提供科学依据。</w:t>
            </w:r>
          </w:p>
          <w:p>
            <w:pPr>
              <w:adjustRightInd w:val="0"/>
              <w:snapToGrid w:val="0"/>
              <w:spacing w:line="360" w:lineRule="auto"/>
              <w:ind w:firstLine="480" w:firstLineChars="200"/>
              <w:rPr>
                <w:rFonts w:cs="Times New Roman"/>
                <w:snapToGrid w:val="0"/>
              </w:rPr>
            </w:pPr>
            <w:r>
              <w:rPr>
                <w:rFonts w:cs="Times New Roman"/>
                <w:snapToGrid w:val="0"/>
              </w:rPr>
              <w:t>根据《建设项目环境风险评价技术导则》(HJ/T 169-2018)，环境风险评价基本内容包括风险调查、环境风险潜势初判、风险识别、风险事故情形分析、风险预测与评价、环境风险管理等。评价具体内容：基于风险调查，分析建设项目物质及工艺系统危险性和环境敏感性，进行风险潜势的判断，确定风险评价等级；风险识别及风险事故情形分析，明确危险物质在生产系统中的主要分布，筛选具有代表性的风险事故情形，合理设定事故源项；各环境要素按确定的评价工作等级分别开展预测评价，分析说明环境风险危害范围与程度，提出环境风险防范基本要求；提出环境风险管理对策，明确环境风险防范措施及突发环境事件应急预案编制要求；综合环境风险评价过程，给出评价结论与建议。</w:t>
            </w:r>
          </w:p>
          <w:p>
            <w:pPr>
              <w:pStyle w:val="8"/>
            </w:pPr>
            <w:r>
              <w:t>风险调查</w:t>
            </w:r>
          </w:p>
          <w:p>
            <w:pPr>
              <w:adjustRightInd w:val="0"/>
              <w:snapToGrid w:val="0"/>
              <w:spacing w:line="360" w:lineRule="auto"/>
              <w:ind w:firstLine="480" w:firstLineChars="200"/>
              <w:rPr>
                <w:rFonts w:cs="Times New Roman"/>
              </w:rPr>
            </w:pPr>
            <w:r>
              <w:rPr>
                <w:rFonts w:cs="Times New Roman"/>
              </w:rPr>
              <w:t>1、项目风险源调查</w:t>
            </w:r>
          </w:p>
          <w:p>
            <w:pPr>
              <w:adjustRightInd w:val="0"/>
              <w:snapToGrid w:val="0"/>
              <w:spacing w:line="360" w:lineRule="auto"/>
              <w:ind w:firstLine="480" w:firstLineChars="200"/>
              <w:rPr>
                <w:rFonts w:cs="Times New Roman"/>
              </w:rPr>
            </w:pPr>
            <w:r>
              <w:rPr>
                <w:rFonts w:cs="Times New Roman"/>
              </w:rPr>
              <w:t>（1）风险物质数量及分布情况</w:t>
            </w:r>
          </w:p>
          <w:p>
            <w:pPr>
              <w:adjustRightInd w:val="0"/>
              <w:snapToGrid w:val="0"/>
              <w:spacing w:line="360" w:lineRule="auto"/>
              <w:ind w:firstLine="480" w:firstLineChars="200"/>
              <w:rPr>
                <w:rFonts w:cs="Times New Roman"/>
              </w:rPr>
            </w:pPr>
            <w:r>
              <w:rPr>
                <w:rFonts w:cs="Times New Roman"/>
              </w:rPr>
              <w:t>根据《建设项目环境风险评价技术导则》（HJ/T169-2018）对“危险单元”定义：由一个或多个风险源构成的具有相对独立功能的单元，事故状况下应可实现与其他功能单元的分割，由于本项目所涉及的生产单元和前一个常压装置的无法实现功能分割，故本章将针对常压装置和本项目进行环境风险评价。</w:t>
            </w:r>
          </w:p>
          <w:p>
            <w:pPr>
              <w:spacing w:line="360" w:lineRule="auto"/>
              <w:ind w:firstLine="480" w:firstLineChars="200"/>
              <w:rPr>
                <w:rFonts w:cs="Times New Roman"/>
              </w:rPr>
            </w:pPr>
            <w:r>
              <w:rPr>
                <w:rFonts w:cs="Times New Roman"/>
              </w:rPr>
              <w:t>根据工程分析，本项目涉及的物料包括柴油和废润滑油，本项目风险物质的储存数量和分布情况下表所示。</w:t>
            </w:r>
          </w:p>
          <w:p>
            <w:pPr>
              <w:adjustRightInd w:val="0"/>
              <w:snapToGrid w:val="0"/>
              <w:ind w:firstLine="422" w:firstLineChars="200"/>
              <w:jc w:val="center"/>
              <w:rPr>
                <w:rFonts w:cs="Times New Roman"/>
                <w:b/>
                <w:sz w:val="21"/>
              </w:rPr>
            </w:pPr>
            <w:r>
              <w:rPr>
                <w:rFonts w:cs="Times New Roman"/>
                <w:b/>
                <w:sz w:val="21"/>
              </w:rPr>
              <w:t>表7.2-2</w:t>
            </w:r>
            <w:r>
              <w:rPr>
                <w:rFonts w:hint="eastAsia" w:cs="Times New Roman"/>
                <w:b/>
                <w:sz w:val="21"/>
              </w:rPr>
              <w:t>5</w:t>
            </w:r>
            <w:r>
              <w:rPr>
                <w:rFonts w:cs="Times New Roman"/>
                <w:b/>
                <w:sz w:val="21"/>
              </w:rPr>
              <w:t xml:space="preserve">  风险物质数量及分析情况一览表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2335"/>
              <w:gridCol w:w="2328"/>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序号</w:t>
                  </w:r>
                </w:p>
              </w:tc>
              <w:tc>
                <w:tcPr>
                  <w:tcW w:w="1406"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危险物质名称</w:t>
                  </w:r>
                </w:p>
              </w:tc>
              <w:tc>
                <w:tcPr>
                  <w:tcW w:w="1401"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储存方式</w:t>
                  </w:r>
                </w:p>
              </w:tc>
              <w:tc>
                <w:tcPr>
                  <w:tcW w:w="1412"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最大贮存量q（t）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1</w:t>
                  </w:r>
                </w:p>
              </w:tc>
              <w:tc>
                <w:tcPr>
                  <w:tcW w:w="1406" w:type="pct"/>
                  <w:vAlign w:val="center"/>
                </w:tcPr>
                <w:p>
                  <w:pPr>
                    <w:snapToGrid w:val="0"/>
                    <w:jc w:val="center"/>
                    <w:rPr>
                      <w:rFonts w:cs="Times New Roman"/>
                      <w:bCs/>
                      <w:sz w:val="21"/>
                    </w:rPr>
                  </w:pPr>
                  <w:r>
                    <w:rPr>
                      <w:rFonts w:cs="Times New Roman"/>
                      <w:bCs/>
                      <w:kern w:val="0"/>
                      <w:sz w:val="21"/>
                    </w:rPr>
                    <w:t>废润滑油</w:t>
                  </w:r>
                </w:p>
              </w:tc>
              <w:tc>
                <w:tcPr>
                  <w:tcW w:w="1401" w:type="pct"/>
                  <w:vAlign w:val="center"/>
                </w:tcPr>
                <w:p>
                  <w:pPr>
                    <w:pStyle w:val="15"/>
                    <w:spacing w:line="240" w:lineRule="auto"/>
                    <w:rPr>
                      <w:rFonts w:cs="Times New Roman" w:eastAsiaTheme="minorEastAsia"/>
                      <w:b w:val="0"/>
                      <w:bCs/>
                      <w:sz w:val="21"/>
                      <w:szCs w:val="21"/>
                    </w:rPr>
                  </w:pPr>
                  <w:r>
                    <w:rPr>
                      <w:rFonts w:cs="Times New Roman" w:eastAsiaTheme="minorEastAsia"/>
                      <w:b w:val="0"/>
                      <w:bCs/>
                      <w:kern w:val="0"/>
                      <w:sz w:val="21"/>
                      <w:szCs w:val="21"/>
                    </w:rPr>
                    <w:t>桶装</w:t>
                  </w:r>
                </w:p>
              </w:tc>
              <w:tc>
                <w:tcPr>
                  <w:tcW w:w="1412"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2</w:t>
                  </w:r>
                </w:p>
              </w:tc>
              <w:tc>
                <w:tcPr>
                  <w:tcW w:w="1406" w:type="pct"/>
                  <w:vAlign w:val="center"/>
                </w:tcPr>
                <w:p>
                  <w:pPr>
                    <w:snapToGrid w:val="0"/>
                    <w:jc w:val="center"/>
                    <w:rPr>
                      <w:rFonts w:cs="Times New Roman"/>
                      <w:bCs/>
                      <w:sz w:val="21"/>
                    </w:rPr>
                  </w:pPr>
                  <w:r>
                    <w:rPr>
                      <w:rFonts w:cs="Times New Roman"/>
                      <w:bCs/>
                      <w:kern w:val="0"/>
                      <w:sz w:val="21"/>
                    </w:rPr>
                    <w:t>润滑油</w:t>
                  </w:r>
                </w:p>
              </w:tc>
              <w:tc>
                <w:tcPr>
                  <w:tcW w:w="1401" w:type="pct"/>
                  <w:vAlign w:val="center"/>
                </w:tcPr>
                <w:p>
                  <w:pPr>
                    <w:pStyle w:val="15"/>
                    <w:spacing w:line="240" w:lineRule="auto"/>
                    <w:rPr>
                      <w:rFonts w:cs="Times New Roman" w:eastAsiaTheme="minorEastAsia"/>
                      <w:b w:val="0"/>
                      <w:bCs/>
                      <w:sz w:val="21"/>
                      <w:szCs w:val="21"/>
                    </w:rPr>
                  </w:pPr>
                  <w:r>
                    <w:rPr>
                      <w:rFonts w:cs="Times New Roman" w:eastAsiaTheme="minorEastAsia"/>
                      <w:b w:val="0"/>
                      <w:bCs/>
                      <w:kern w:val="0"/>
                      <w:sz w:val="21"/>
                      <w:szCs w:val="21"/>
                    </w:rPr>
                    <w:t>桶装</w:t>
                  </w:r>
                </w:p>
              </w:tc>
              <w:tc>
                <w:tcPr>
                  <w:tcW w:w="1412"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3</w:t>
                  </w:r>
                </w:p>
              </w:tc>
              <w:tc>
                <w:tcPr>
                  <w:tcW w:w="1406" w:type="pct"/>
                  <w:vAlign w:val="center"/>
                </w:tcPr>
                <w:p>
                  <w:pPr>
                    <w:snapToGrid w:val="0"/>
                    <w:jc w:val="center"/>
                    <w:rPr>
                      <w:rFonts w:cs="Times New Roman"/>
                      <w:bCs/>
                      <w:kern w:val="0"/>
                      <w:sz w:val="21"/>
                    </w:rPr>
                  </w:pPr>
                  <w:r>
                    <w:rPr>
                      <w:rFonts w:cs="Times New Roman"/>
                      <w:bCs/>
                      <w:kern w:val="0"/>
                      <w:sz w:val="21"/>
                    </w:rPr>
                    <w:t>柴油</w:t>
                  </w:r>
                </w:p>
              </w:tc>
              <w:tc>
                <w:tcPr>
                  <w:tcW w:w="1401" w:type="pct"/>
                  <w:vAlign w:val="center"/>
                </w:tcPr>
                <w:p>
                  <w:pPr>
                    <w:pStyle w:val="15"/>
                    <w:spacing w:line="240" w:lineRule="auto"/>
                    <w:rPr>
                      <w:rFonts w:cs="Times New Roman" w:eastAsiaTheme="minorEastAsia"/>
                      <w:b w:val="0"/>
                      <w:bCs/>
                      <w:kern w:val="0"/>
                      <w:sz w:val="21"/>
                      <w:szCs w:val="21"/>
                    </w:rPr>
                  </w:pPr>
                  <w:r>
                    <w:rPr>
                      <w:rFonts w:cs="Times New Roman" w:eastAsiaTheme="minorEastAsia"/>
                      <w:b w:val="0"/>
                      <w:bCs/>
                      <w:kern w:val="0"/>
                      <w:sz w:val="21"/>
                      <w:szCs w:val="21"/>
                    </w:rPr>
                    <w:t>桶装</w:t>
                  </w:r>
                </w:p>
              </w:tc>
              <w:tc>
                <w:tcPr>
                  <w:tcW w:w="1412"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7" w:type="pct"/>
                  <w:gridSpan w:val="3"/>
                  <w:vAlign w:val="center"/>
                </w:tcPr>
                <w:p>
                  <w:pPr>
                    <w:pStyle w:val="15"/>
                    <w:spacing w:line="240" w:lineRule="auto"/>
                    <w:ind w:left="480"/>
                    <w:rPr>
                      <w:rFonts w:cs="Times New Roman" w:eastAsiaTheme="minorEastAsia"/>
                      <w:b w:val="0"/>
                      <w:bCs/>
                      <w:sz w:val="21"/>
                      <w:szCs w:val="21"/>
                    </w:rPr>
                  </w:pPr>
                  <w:r>
                    <w:rPr>
                      <w:rFonts w:hint="eastAsia" w:cs="Times New Roman" w:eastAsiaTheme="minorEastAsia"/>
                      <w:b w:val="0"/>
                      <w:bCs/>
                      <w:kern w:val="0"/>
                      <w:sz w:val="21"/>
                      <w:szCs w:val="21"/>
                    </w:rPr>
                    <w:t>合计</w:t>
                  </w:r>
                </w:p>
              </w:tc>
              <w:tc>
                <w:tcPr>
                  <w:tcW w:w="1412" w:type="pct"/>
                  <w:vAlign w:val="center"/>
                </w:tcPr>
                <w:p>
                  <w:pPr>
                    <w:pStyle w:val="15"/>
                    <w:spacing w:line="240" w:lineRule="auto"/>
                    <w:rPr>
                      <w:rFonts w:cs="Times New Roman" w:eastAsiaTheme="minorEastAsia"/>
                    </w:rPr>
                  </w:pPr>
                  <w:r>
                    <w:rPr>
                      <w:rFonts w:hint="eastAsia" w:cs="Times New Roman" w:eastAsiaTheme="minorEastAsia"/>
                      <w:b w:val="0"/>
                      <w:bCs/>
                      <w:sz w:val="21"/>
                      <w:szCs w:val="21"/>
                    </w:rPr>
                    <w:t>0.04</w:t>
                  </w:r>
                </w:p>
              </w:tc>
            </w:tr>
          </w:tbl>
          <w:p>
            <w:pPr>
              <w:adjustRightInd w:val="0"/>
              <w:snapToGrid w:val="0"/>
              <w:spacing w:line="360" w:lineRule="auto"/>
              <w:ind w:firstLine="480" w:firstLineChars="200"/>
              <w:rPr>
                <w:rFonts w:cs="Times New Roman"/>
              </w:rPr>
            </w:pPr>
            <w:r>
              <w:rPr>
                <w:rFonts w:cs="Times New Roman"/>
              </w:rPr>
              <w:t>（2）物质危险性分析</w:t>
            </w:r>
          </w:p>
          <w:p>
            <w:pPr>
              <w:adjustRightInd w:val="0"/>
              <w:snapToGrid w:val="0"/>
              <w:spacing w:line="360" w:lineRule="auto"/>
              <w:ind w:firstLine="480" w:firstLineChars="200"/>
              <w:rPr>
                <w:rFonts w:cs="Times New Roman"/>
              </w:rPr>
            </w:pPr>
            <w:r>
              <w:rPr>
                <w:rFonts w:cs="Times New Roman"/>
              </w:rPr>
              <w:t>根据《建设项目环境风险评价技术导则》（HJ169-2018）附录B重点关注的危险物质及临界量，并结合《企业突发环境事件风险分级方法》附录A突发环境事件风险物质及临界量清单，对本项目进行对照识别，本项目使用的机油和柴油属于危险物质。各风险物质危险性识别见下表所示。</w:t>
            </w:r>
          </w:p>
          <w:p>
            <w:pPr>
              <w:adjustRightInd w:val="0"/>
              <w:snapToGrid w:val="0"/>
              <w:ind w:firstLine="422" w:firstLineChars="200"/>
              <w:jc w:val="center"/>
              <w:rPr>
                <w:rFonts w:cs="Times New Roman"/>
                <w:b/>
                <w:sz w:val="21"/>
              </w:rPr>
            </w:pPr>
            <w:r>
              <w:rPr>
                <w:rFonts w:cs="Times New Roman"/>
                <w:b/>
                <w:sz w:val="21"/>
              </w:rPr>
              <w:t>表7.2-2</w:t>
            </w:r>
            <w:r>
              <w:rPr>
                <w:rFonts w:hint="eastAsia" w:cs="Times New Roman"/>
                <w:b/>
                <w:sz w:val="21"/>
              </w:rPr>
              <w:t>6</w:t>
            </w:r>
            <w:r>
              <w:rPr>
                <w:rFonts w:cs="Times New Roman"/>
                <w:b/>
                <w:sz w:val="21"/>
              </w:rPr>
              <w:t xml:space="preserve">  项目涉及到的化学品危险性识别表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850"/>
              <w:gridCol w:w="971"/>
              <w:gridCol w:w="1352"/>
              <w:gridCol w:w="699"/>
              <w:gridCol w:w="971"/>
              <w:gridCol w:w="1061"/>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restar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物质名称</w:t>
                  </w:r>
                </w:p>
              </w:tc>
              <w:tc>
                <w:tcPr>
                  <w:tcW w:w="1699" w:type="pct"/>
                  <w:gridSpan w:val="2"/>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有毒物质识别</w:t>
                  </w:r>
                </w:p>
              </w:tc>
              <w:tc>
                <w:tcPr>
                  <w:tcW w:w="1235" w:type="pct"/>
                  <w:gridSpan w:val="2"/>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易燃物质识别</w:t>
                  </w:r>
                </w:p>
              </w:tc>
              <w:tc>
                <w:tcPr>
                  <w:tcW w:w="1224" w:type="pct"/>
                  <w:gridSpan w:val="2"/>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爆炸物质识别</w:t>
                  </w:r>
                </w:p>
              </w:tc>
              <w:tc>
                <w:tcPr>
                  <w:tcW w:w="421" w:type="pct"/>
                  <w:vMerge w:val="restar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识别界定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Merge w:val="continue"/>
                  <w:vAlign w:val="center"/>
                </w:tcPr>
                <w:p>
                  <w:pPr>
                    <w:pStyle w:val="15"/>
                    <w:adjustRightInd w:val="0"/>
                    <w:snapToGrid w:val="0"/>
                    <w:spacing w:line="240" w:lineRule="auto"/>
                    <w:ind w:left="480"/>
                    <w:rPr>
                      <w:rFonts w:cs="Times New Roman" w:eastAsiaTheme="minorEastAsia"/>
                      <w:b w:val="0"/>
                      <w:bCs/>
                      <w:sz w:val="21"/>
                      <w:szCs w:val="21"/>
                    </w:rPr>
                  </w:pPr>
                </w:p>
              </w:tc>
              <w:tc>
                <w:tcPr>
                  <w:tcW w:w="1114" w:type="pc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特征</w:t>
                  </w:r>
                </w:p>
              </w:tc>
              <w:tc>
                <w:tcPr>
                  <w:tcW w:w="585" w:type="pc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结果</w:t>
                  </w:r>
                </w:p>
              </w:tc>
              <w:tc>
                <w:tcPr>
                  <w:tcW w:w="814" w:type="pc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特征</w:t>
                  </w:r>
                </w:p>
              </w:tc>
              <w:tc>
                <w:tcPr>
                  <w:tcW w:w="421" w:type="pc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结果</w:t>
                  </w:r>
                </w:p>
              </w:tc>
              <w:tc>
                <w:tcPr>
                  <w:tcW w:w="585" w:type="pct"/>
                  <w:vAlign w:val="center"/>
                </w:tcPr>
                <w:p>
                  <w:pPr>
                    <w:adjustRightInd w:val="0"/>
                    <w:snapToGrid w:val="0"/>
                    <w:jc w:val="center"/>
                    <w:rPr>
                      <w:rFonts w:cs="Times New Roman"/>
                      <w:bCs/>
                      <w:sz w:val="21"/>
                    </w:rPr>
                  </w:pPr>
                  <w:r>
                    <w:rPr>
                      <w:rFonts w:cs="Times New Roman"/>
                      <w:bCs/>
                      <w:sz w:val="21"/>
                    </w:rPr>
                    <w:t>特征</w:t>
                  </w:r>
                </w:p>
              </w:tc>
              <w:tc>
                <w:tcPr>
                  <w:tcW w:w="639" w:type="pct"/>
                  <w:vAlign w:val="center"/>
                </w:tcPr>
                <w:p>
                  <w:pPr>
                    <w:adjustRightInd w:val="0"/>
                    <w:snapToGrid w:val="0"/>
                    <w:jc w:val="center"/>
                    <w:rPr>
                      <w:rFonts w:cs="Times New Roman"/>
                      <w:bCs/>
                      <w:sz w:val="21"/>
                    </w:rPr>
                  </w:pPr>
                  <w:r>
                    <w:rPr>
                      <w:rFonts w:cs="Times New Roman"/>
                      <w:bCs/>
                      <w:sz w:val="21"/>
                    </w:rPr>
                    <w:t>结果</w:t>
                  </w:r>
                </w:p>
              </w:tc>
              <w:tc>
                <w:tcPr>
                  <w:tcW w:w="421" w:type="pct"/>
                  <w:vMerge w:val="continue"/>
                  <w:vAlign w:val="center"/>
                </w:tcPr>
                <w:p>
                  <w:pPr>
                    <w:pStyle w:val="15"/>
                    <w:adjustRightInd w:val="0"/>
                    <w:snapToGrid w:val="0"/>
                    <w:spacing w:line="240" w:lineRule="auto"/>
                    <w:ind w:left="480"/>
                    <w:rPr>
                      <w:rFonts w:cs="Times New Roman" w:eastAsiaTheme="minorEastAsia"/>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pPr>
                    <w:autoSpaceDE w:val="0"/>
                    <w:autoSpaceDN w:val="0"/>
                    <w:adjustRightInd w:val="0"/>
                    <w:snapToGrid w:val="0"/>
                    <w:jc w:val="center"/>
                    <w:rPr>
                      <w:rFonts w:cs="Times New Roman"/>
                      <w:bCs/>
                      <w:sz w:val="21"/>
                    </w:rPr>
                  </w:pPr>
                  <w:r>
                    <w:rPr>
                      <w:rFonts w:cs="Times New Roman"/>
                      <w:bCs/>
                      <w:sz w:val="21"/>
                    </w:rPr>
                    <w:t>机油</w:t>
                  </w:r>
                </w:p>
              </w:tc>
              <w:tc>
                <w:tcPr>
                  <w:tcW w:w="1114" w:type="pct"/>
                  <w:vAlign w:val="center"/>
                </w:tcPr>
                <w:p>
                  <w:pPr>
                    <w:adjustRightInd w:val="0"/>
                    <w:snapToGrid w:val="0"/>
                    <w:jc w:val="center"/>
                    <w:rPr>
                      <w:rFonts w:cs="Times New Roman"/>
                      <w:bCs/>
                      <w:sz w:val="21"/>
                    </w:rPr>
                  </w:pPr>
                  <w:r>
                    <w:rPr>
                      <w:rFonts w:cs="Times New Roman"/>
                      <w:bCs/>
                      <w:sz w:val="21"/>
                    </w:rPr>
                    <w:t>LD50：无资料；LC50：无资料</w:t>
                  </w:r>
                </w:p>
              </w:tc>
              <w:tc>
                <w:tcPr>
                  <w:tcW w:w="585" w:type="pct"/>
                  <w:vAlign w:val="center"/>
                </w:tcPr>
                <w:p>
                  <w:pPr>
                    <w:autoSpaceDE w:val="0"/>
                    <w:autoSpaceDN w:val="0"/>
                    <w:adjustRightInd w:val="0"/>
                    <w:snapToGrid w:val="0"/>
                    <w:jc w:val="center"/>
                    <w:rPr>
                      <w:rFonts w:cs="Times New Roman"/>
                      <w:bCs/>
                      <w:sz w:val="21"/>
                    </w:rPr>
                  </w:pPr>
                  <w:r>
                    <w:rPr>
                      <w:rFonts w:cs="Times New Roman"/>
                      <w:bCs/>
                      <w:sz w:val="21"/>
                    </w:rPr>
                    <w:t>不属于毒性物质</w:t>
                  </w:r>
                </w:p>
              </w:tc>
              <w:tc>
                <w:tcPr>
                  <w:tcW w:w="814" w:type="pct"/>
                  <w:vAlign w:val="center"/>
                </w:tcPr>
                <w:p>
                  <w:pPr>
                    <w:autoSpaceDE w:val="0"/>
                    <w:autoSpaceDN w:val="0"/>
                    <w:adjustRightInd w:val="0"/>
                    <w:snapToGrid w:val="0"/>
                    <w:jc w:val="center"/>
                    <w:rPr>
                      <w:rFonts w:cs="Times New Roman"/>
                      <w:bCs/>
                      <w:sz w:val="21"/>
                    </w:rPr>
                  </w:pPr>
                  <w:r>
                    <w:rPr>
                      <w:rFonts w:cs="Times New Roman"/>
                      <w:bCs/>
                      <w:sz w:val="21"/>
                    </w:rPr>
                    <w:t>闪点120~340℃</w:t>
                  </w:r>
                </w:p>
              </w:tc>
              <w:tc>
                <w:tcPr>
                  <w:tcW w:w="421" w:type="pct"/>
                  <w:vAlign w:val="center"/>
                </w:tcPr>
                <w:p>
                  <w:pPr>
                    <w:autoSpaceDE w:val="0"/>
                    <w:autoSpaceDN w:val="0"/>
                    <w:adjustRightInd w:val="0"/>
                    <w:snapToGrid w:val="0"/>
                    <w:jc w:val="center"/>
                    <w:rPr>
                      <w:rFonts w:cs="Times New Roman"/>
                      <w:bCs/>
                      <w:sz w:val="21"/>
                    </w:rPr>
                  </w:pPr>
                  <w:r>
                    <w:rPr>
                      <w:rFonts w:cs="Times New Roman"/>
                      <w:bCs/>
                      <w:sz w:val="21"/>
                    </w:rPr>
                    <w:t>可燃物质</w:t>
                  </w:r>
                </w:p>
              </w:tc>
              <w:tc>
                <w:tcPr>
                  <w:tcW w:w="585" w:type="pct"/>
                  <w:vAlign w:val="center"/>
                </w:tcPr>
                <w:p>
                  <w:pPr>
                    <w:autoSpaceDE w:val="0"/>
                    <w:autoSpaceDN w:val="0"/>
                    <w:adjustRightInd w:val="0"/>
                    <w:snapToGrid w:val="0"/>
                    <w:jc w:val="center"/>
                    <w:rPr>
                      <w:rFonts w:cs="Times New Roman"/>
                      <w:bCs/>
                      <w:sz w:val="21"/>
                    </w:rPr>
                  </w:pPr>
                  <w:r>
                    <w:rPr>
                      <w:rFonts w:cs="Times New Roman"/>
                      <w:bCs/>
                      <w:sz w:val="21"/>
                    </w:rPr>
                    <w:t>无特殊燃爆特征</w:t>
                  </w:r>
                </w:p>
              </w:tc>
              <w:tc>
                <w:tcPr>
                  <w:tcW w:w="639" w:type="pct"/>
                  <w:vAlign w:val="center"/>
                </w:tcPr>
                <w:p>
                  <w:pPr>
                    <w:autoSpaceDE w:val="0"/>
                    <w:autoSpaceDN w:val="0"/>
                    <w:adjustRightInd w:val="0"/>
                    <w:snapToGrid w:val="0"/>
                    <w:jc w:val="center"/>
                    <w:rPr>
                      <w:rFonts w:cs="Times New Roman"/>
                      <w:bCs/>
                      <w:sz w:val="21"/>
                    </w:rPr>
                  </w:pPr>
                  <w:r>
                    <w:rPr>
                      <w:rFonts w:cs="Times New Roman"/>
                      <w:bCs/>
                      <w:sz w:val="21"/>
                    </w:rPr>
                    <w:t>不属于爆炸性物质</w:t>
                  </w:r>
                </w:p>
              </w:tc>
              <w:tc>
                <w:tcPr>
                  <w:tcW w:w="421" w:type="pc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可燃物质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vAlign w:val="center"/>
                </w:tcPr>
                <w:p>
                  <w:pPr>
                    <w:autoSpaceDE w:val="0"/>
                    <w:autoSpaceDN w:val="0"/>
                    <w:adjustRightInd w:val="0"/>
                    <w:snapToGrid w:val="0"/>
                    <w:jc w:val="center"/>
                    <w:rPr>
                      <w:rFonts w:cs="Times New Roman"/>
                      <w:bCs/>
                      <w:sz w:val="21"/>
                    </w:rPr>
                  </w:pPr>
                  <w:r>
                    <w:rPr>
                      <w:rFonts w:cs="Times New Roman"/>
                      <w:bCs/>
                      <w:sz w:val="21"/>
                    </w:rPr>
                    <w:t>柴油</w:t>
                  </w:r>
                </w:p>
              </w:tc>
              <w:tc>
                <w:tcPr>
                  <w:tcW w:w="1114" w:type="pct"/>
                  <w:vAlign w:val="center"/>
                </w:tcPr>
                <w:p>
                  <w:pPr>
                    <w:adjustRightInd w:val="0"/>
                    <w:snapToGrid w:val="0"/>
                    <w:jc w:val="center"/>
                    <w:rPr>
                      <w:rFonts w:cs="Times New Roman"/>
                      <w:bCs/>
                      <w:sz w:val="21"/>
                    </w:rPr>
                  </w:pPr>
                  <w:r>
                    <w:rPr>
                      <w:rFonts w:cs="Times New Roman"/>
                      <w:bCs/>
                      <w:sz w:val="21"/>
                    </w:rPr>
                    <w:t>LD50：无资料；LC50：无资料</w:t>
                  </w:r>
                </w:p>
              </w:tc>
              <w:tc>
                <w:tcPr>
                  <w:tcW w:w="585" w:type="pct"/>
                  <w:vAlign w:val="center"/>
                </w:tcPr>
                <w:p>
                  <w:pPr>
                    <w:autoSpaceDE w:val="0"/>
                    <w:autoSpaceDN w:val="0"/>
                    <w:adjustRightInd w:val="0"/>
                    <w:snapToGrid w:val="0"/>
                    <w:jc w:val="center"/>
                    <w:rPr>
                      <w:rFonts w:cs="Times New Roman"/>
                      <w:bCs/>
                      <w:sz w:val="21"/>
                    </w:rPr>
                  </w:pPr>
                  <w:r>
                    <w:rPr>
                      <w:rFonts w:cs="Times New Roman"/>
                      <w:bCs/>
                      <w:sz w:val="21"/>
                    </w:rPr>
                    <w:t>不属于毒性物质</w:t>
                  </w:r>
                </w:p>
              </w:tc>
              <w:tc>
                <w:tcPr>
                  <w:tcW w:w="814" w:type="pc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闪点55℃</w:t>
                  </w:r>
                </w:p>
              </w:tc>
              <w:tc>
                <w:tcPr>
                  <w:tcW w:w="421" w:type="pct"/>
                  <w:vAlign w:val="center"/>
                </w:tcPr>
                <w:p>
                  <w:pPr>
                    <w:autoSpaceDE w:val="0"/>
                    <w:autoSpaceDN w:val="0"/>
                    <w:adjustRightInd w:val="0"/>
                    <w:snapToGrid w:val="0"/>
                    <w:jc w:val="center"/>
                    <w:rPr>
                      <w:rFonts w:cs="Times New Roman"/>
                      <w:bCs/>
                      <w:sz w:val="21"/>
                    </w:rPr>
                  </w:pPr>
                  <w:r>
                    <w:rPr>
                      <w:rFonts w:cs="Times New Roman"/>
                      <w:bCs/>
                      <w:sz w:val="21"/>
                    </w:rPr>
                    <w:t>可燃物质</w:t>
                  </w:r>
                </w:p>
              </w:tc>
              <w:tc>
                <w:tcPr>
                  <w:tcW w:w="585" w:type="pct"/>
                  <w:vAlign w:val="center"/>
                </w:tcPr>
                <w:p>
                  <w:pPr>
                    <w:autoSpaceDE w:val="0"/>
                    <w:autoSpaceDN w:val="0"/>
                    <w:adjustRightInd w:val="0"/>
                    <w:snapToGrid w:val="0"/>
                    <w:jc w:val="center"/>
                    <w:rPr>
                      <w:rFonts w:cs="Times New Roman"/>
                      <w:bCs/>
                      <w:sz w:val="21"/>
                    </w:rPr>
                  </w:pPr>
                  <w:r>
                    <w:rPr>
                      <w:rFonts w:cs="Times New Roman"/>
                      <w:bCs/>
                      <w:sz w:val="21"/>
                    </w:rPr>
                    <w:t>无特殊燃爆特征</w:t>
                  </w:r>
                </w:p>
              </w:tc>
              <w:tc>
                <w:tcPr>
                  <w:tcW w:w="639" w:type="pct"/>
                  <w:vAlign w:val="center"/>
                </w:tcPr>
                <w:p>
                  <w:pPr>
                    <w:autoSpaceDE w:val="0"/>
                    <w:autoSpaceDN w:val="0"/>
                    <w:adjustRightInd w:val="0"/>
                    <w:snapToGrid w:val="0"/>
                    <w:jc w:val="center"/>
                    <w:rPr>
                      <w:rFonts w:cs="Times New Roman"/>
                      <w:bCs/>
                      <w:sz w:val="21"/>
                    </w:rPr>
                  </w:pPr>
                  <w:r>
                    <w:rPr>
                      <w:rFonts w:cs="Times New Roman"/>
                      <w:bCs/>
                      <w:sz w:val="21"/>
                    </w:rPr>
                    <w:t>不属于爆炸性物质</w:t>
                  </w:r>
                </w:p>
              </w:tc>
              <w:tc>
                <w:tcPr>
                  <w:tcW w:w="421" w:type="pct"/>
                  <w:vAlign w:val="center"/>
                </w:tcPr>
                <w:p>
                  <w:pPr>
                    <w:pStyle w:val="15"/>
                    <w:adjustRightInd w:val="0"/>
                    <w:snapToGrid w:val="0"/>
                    <w:spacing w:line="240" w:lineRule="auto"/>
                    <w:rPr>
                      <w:rFonts w:cs="Times New Roman" w:eastAsiaTheme="minorEastAsia"/>
                      <w:b w:val="0"/>
                      <w:bCs/>
                      <w:sz w:val="21"/>
                      <w:szCs w:val="21"/>
                    </w:rPr>
                  </w:pPr>
                  <w:r>
                    <w:rPr>
                      <w:rFonts w:cs="Times New Roman" w:eastAsiaTheme="minorEastAsia"/>
                      <w:b w:val="0"/>
                      <w:bCs/>
                      <w:sz w:val="21"/>
                      <w:szCs w:val="21"/>
                    </w:rPr>
                    <w:t>可燃物质</w:t>
                  </w:r>
                </w:p>
              </w:tc>
            </w:tr>
          </w:tbl>
          <w:p>
            <w:pPr>
              <w:adjustRightInd w:val="0"/>
              <w:snapToGrid w:val="0"/>
              <w:spacing w:line="360" w:lineRule="auto"/>
              <w:ind w:firstLine="480" w:firstLineChars="200"/>
              <w:rPr>
                <w:rFonts w:cs="Times New Roman"/>
              </w:rPr>
            </w:pPr>
            <w:r>
              <w:rPr>
                <w:rFonts w:cs="Times New Roman"/>
              </w:rPr>
              <w:t>（3）环境敏感目标调查</w:t>
            </w:r>
          </w:p>
          <w:p>
            <w:pPr>
              <w:keepNext/>
              <w:adjustRightInd w:val="0"/>
              <w:snapToGrid w:val="0"/>
              <w:spacing w:line="360" w:lineRule="auto"/>
              <w:ind w:firstLine="480" w:firstLineChars="200"/>
              <w:jc w:val="left"/>
              <w:rPr>
                <w:rFonts w:cs="Times New Roman"/>
                <w:color w:val="000000" w:themeColor="text1"/>
              </w:rPr>
            </w:pPr>
            <w:r>
              <w:rPr>
                <w:rFonts w:cs="Times New Roman"/>
                <w:color w:val="000000" w:themeColor="text1"/>
              </w:rPr>
              <w:t>本项目环境风险主要为大气环境风险，本项目环境风险评价范围内环境敏感目标见</w:t>
            </w:r>
            <w:r>
              <w:rPr>
                <w:rFonts w:hint="eastAsia" w:cs="Times New Roman"/>
                <w:color w:val="000000" w:themeColor="text1"/>
              </w:rPr>
              <w:t>下表所示</w:t>
            </w:r>
            <w:r>
              <w:rPr>
                <w:rFonts w:cs="Times New Roman"/>
                <w:color w:val="000000" w:themeColor="text1"/>
              </w:rPr>
              <w:t>。</w:t>
            </w:r>
          </w:p>
          <w:p>
            <w:pPr>
              <w:adjustRightInd w:val="0"/>
              <w:snapToGrid w:val="0"/>
              <w:ind w:firstLine="422" w:firstLineChars="200"/>
              <w:jc w:val="center"/>
              <w:rPr>
                <w:rFonts w:cs="Times New Roman"/>
                <w:b/>
                <w:bCs/>
                <w:sz w:val="21"/>
              </w:rPr>
            </w:pPr>
            <w:r>
              <w:rPr>
                <w:rFonts w:hint="eastAsia" w:cs="Times New Roman"/>
                <w:b/>
                <w:bCs/>
                <w:sz w:val="21"/>
              </w:rPr>
              <w:t xml:space="preserve">表7.2-27  </w:t>
            </w:r>
            <w:r>
              <w:rPr>
                <w:rFonts w:cs="Times New Roman"/>
                <w:b/>
                <w:bCs/>
                <w:color w:val="000000" w:themeColor="text1"/>
                <w:sz w:val="21"/>
              </w:rPr>
              <w:t>环境风险评价范围内环境敏感目标</w:t>
            </w:r>
            <w:r>
              <w:rPr>
                <w:rFonts w:hint="eastAsia" w:cs="Times New Roman"/>
                <w:b/>
                <w:bCs/>
                <w:color w:val="000000" w:themeColor="text1"/>
                <w:sz w:val="21"/>
              </w:rPr>
              <w:t>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13"/>
              <w:gridCol w:w="1867"/>
              <w:gridCol w:w="1081"/>
              <w:gridCol w:w="1209"/>
              <w:gridCol w:w="1094"/>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类别</w:t>
                  </w:r>
                </w:p>
              </w:tc>
              <w:tc>
                <w:tcPr>
                  <w:tcW w:w="4743"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4743"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厂址周边</w:t>
                  </w:r>
                  <w:r>
                    <w:rPr>
                      <w:rFonts w:eastAsia="宋体" w:cs="Times New Roman"/>
                      <w:color w:val="000000"/>
                      <w:kern w:val="0"/>
                      <w:sz w:val="21"/>
                    </w:rPr>
                    <w:t>5km</w:t>
                  </w:r>
                  <w:r>
                    <w:rPr>
                      <w:rFonts w:hint="eastAsia" w:eastAsia="宋体" w:cs="宋体"/>
                      <w:color w:val="000000"/>
                      <w:kern w:val="0"/>
                      <w:sz w:val="21"/>
                    </w:rPr>
                    <w:t>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大气环境</w:t>
                  </w:r>
                </w:p>
                <w:p>
                  <w:pPr>
                    <w:jc w:val="center"/>
                    <w:rPr>
                      <w:rFonts w:eastAsia="宋体" w:cs="Times New Roman"/>
                      <w:color w:val="000000"/>
                      <w:kern w:val="0"/>
                      <w:sz w:val="21"/>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序号</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敏感目标名称</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相对方位</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距离</w:t>
                  </w:r>
                  <w:r>
                    <w:rPr>
                      <w:rFonts w:eastAsia="宋体" w:cs="Times New Roman"/>
                      <w:color w:val="000000"/>
                      <w:kern w:val="0"/>
                      <w:sz w:val="21"/>
                    </w:rPr>
                    <w:t>/m</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属性</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eastAsia="宋体" w:cs="Times New Roman"/>
                      <w:color w:val="000000"/>
                      <w:kern w:val="0"/>
                      <w:sz w:val="21"/>
                    </w:rPr>
                    <w:t>1</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hint="eastAsia" w:hAnsi="宋体" w:eastAsia="宋体" w:cs="Times New Roman"/>
                      <w:color w:val="000000"/>
                      <w:sz w:val="21"/>
                    </w:rPr>
                    <w:t>项目西北侧两户居民</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cs="Times New Roman"/>
                      <w:color w:val="000000" w:themeColor="text1"/>
                      <w:sz w:val="21"/>
                    </w:rPr>
                    <w:t>北面</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sz w:val="21"/>
                    </w:rPr>
                  </w:pPr>
                  <w:r>
                    <w:rPr>
                      <w:rFonts w:cs="Times New Roman"/>
                      <w:color w:val="000000" w:themeColor="text1"/>
                      <w:sz w:val="21"/>
                    </w:rPr>
                    <w:t>70</w:t>
                  </w:r>
                  <w:r>
                    <w:rPr>
                      <w:rFonts w:hint="eastAsia" w:cs="Times New Roman"/>
                      <w:color w:val="000000" w:themeColor="text1"/>
                      <w:sz w:val="21"/>
                    </w:rPr>
                    <w:t>m</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Times New Roman"/>
                      <w:color w:val="000000"/>
                      <w:kern w:val="0"/>
                      <w:sz w:val="21"/>
                    </w:rPr>
                    <w:t>约</w:t>
                  </w:r>
                  <w:r>
                    <w:rPr>
                      <w:rFonts w:eastAsia="宋体" w:cs="Times New Roman"/>
                      <w:color w:val="000000"/>
                      <w:kern w:val="0"/>
                      <w:sz w:val="21"/>
                    </w:rPr>
                    <w:t>6</w:t>
                  </w:r>
                  <w:r>
                    <w:rPr>
                      <w:rFonts w:hint="eastAsia" w:eastAsia="宋体" w:cs="Times New Roman"/>
                      <w:color w:val="000000"/>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eastAsia="宋体" w:cs="Times New Roman"/>
                      <w:color w:val="000000"/>
                      <w:kern w:val="0"/>
                      <w:sz w:val="21"/>
                    </w:rPr>
                    <w:t>2</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hint="eastAsia" w:hAnsi="宋体" w:eastAsia="宋体" w:cs="Times New Roman"/>
                      <w:color w:val="000000"/>
                      <w:sz w:val="21"/>
                    </w:rPr>
                    <w:t>三五一七公租房</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cs="Times New Roman"/>
                      <w:color w:val="000000" w:themeColor="text1"/>
                      <w:sz w:val="21"/>
                    </w:rPr>
                    <w:t>东南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sz w:val="21"/>
                    </w:rPr>
                  </w:pPr>
                  <w:r>
                    <w:rPr>
                      <w:rFonts w:cs="Times New Roman"/>
                      <w:color w:val="000000" w:themeColor="text1"/>
                      <w:sz w:val="21"/>
                    </w:rPr>
                    <w:t>273</w:t>
                  </w:r>
                  <w:r>
                    <w:rPr>
                      <w:rFonts w:hint="eastAsia" w:cs="Times New Roman"/>
                      <w:color w:val="000000" w:themeColor="text1"/>
                      <w:sz w:val="21"/>
                    </w:rPr>
                    <w:t>m</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Times New Roman"/>
                      <w:color w:val="000000"/>
                      <w:kern w:val="0"/>
                      <w:sz w:val="21"/>
                    </w:rPr>
                    <w:t>约</w:t>
                  </w:r>
                  <w:r>
                    <w:rPr>
                      <w:rFonts w:eastAsia="宋体" w:cs="Times New Roman"/>
                      <w:color w:val="000000"/>
                      <w:kern w:val="0"/>
                      <w:sz w:val="21"/>
                    </w:rPr>
                    <w:t>150</w:t>
                  </w:r>
                  <w:r>
                    <w:rPr>
                      <w:rFonts w:hint="eastAsia" w:eastAsia="宋体" w:cs="Times New Roman"/>
                      <w:color w:val="000000"/>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eastAsia="宋体" w:cs="Times New Roman"/>
                      <w:color w:val="000000"/>
                      <w:kern w:val="0"/>
                      <w:sz w:val="21"/>
                    </w:rPr>
                    <w:t>3</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hint="eastAsia" w:hAnsi="宋体" w:eastAsia="宋体" w:cs="Times New Roman"/>
                      <w:color w:val="000000"/>
                      <w:sz w:val="21"/>
                    </w:rPr>
                    <w:t>邱家</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cs="Times New Roman"/>
                      <w:color w:val="000000" w:themeColor="text1"/>
                      <w:sz w:val="21"/>
                    </w:rPr>
                    <w:t>东北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sz w:val="21"/>
                    </w:rPr>
                  </w:pPr>
                  <w:r>
                    <w:rPr>
                      <w:rFonts w:cs="Times New Roman"/>
                      <w:color w:val="000000" w:themeColor="text1"/>
                      <w:sz w:val="21"/>
                    </w:rPr>
                    <w:t>343</w:t>
                  </w:r>
                  <w:r>
                    <w:rPr>
                      <w:rFonts w:hint="eastAsia" w:cs="Times New Roman"/>
                      <w:color w:val="000000" w:themeColor="text1"/>
                      <w:sz w:val="21"/>
                    </w:rPr>
                    <w:t>m</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Times New Roman"/>
                      <w:color w:val="000000"/>
                      <w:kern w:val="0"/>
                      <w:sz w:val="21"/>
                    </w:rPr>
                    <w:t>约</w:t>
                  </w:r>
                  <w:r>
                    <w:rPr>
                      <w:rFonts w:eastAsia="宋体" w:cs="Times New Roman"/>
                      <w:color w:val="000000"/>
                      <w:kern w:val="0"/>
                      <w:sz w:val="21"/>
                    </w:rPr>
                    <w:t>45</w:t>
                  </w:r>
                  <w:r>
                    <w:rPr>
                      <w:rFonts w:hint="eastAsia" w:eastAsia="宋体" w:cs="Times New Roman"/>
                      <w:color w:val="000000"/>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eastAsia="宋体" w:cs="Times New Roman"/>
                      <w:color w:val="000000"/>
                      <w:kern w:val="0"/>
                      <w:sz w:val="21"/>
                    </w:rPr>
                    <w:t>4</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hint="eastAsia" w:hAnsi="宋体" w:eastAsia="宋体" w:cs="Times New Roman"/>
                      <w:color w:val="000000"/>
                      <w:sz w:val="21"/>
                    </w:rPr>
                    <w:t>金家垄</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cs="Times New Roman"/>
                      <w:color w:val="000000" w:themeColor="text1"/>
                      <w:sz w:val="21"/>
                    </w:rPr>
                    <w:t>西南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sz w:val="21"/>
                    </w:rPr>
                  </w:pPr>
                  <w:r>
                    <w:rPr>
                      <w:rFonts w:cs="Times New Roman"/>
                      <w:color w:val="000000" w:themeColor="text1"/>
                      <w:sz w:val="21"/>
                    </w:rPr>
                    <w:t>982</w:t>
                  </w:r>
                  <w:r>
                    <w:rPr>
                      <w:rFonts w:hint="eastAsia" w:cs="Times New Roman"/>
                      <w:color w:val="000000" w:themeColor="text1"/>
                      <w:sz w:val="21"/>
                    </w:rPr>
                    <w:t>m</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Times New Roman"/>
                      <w:color w:val="000000"/>
                      <w:kern w:val="0"/>
                      <w:sz w:val="21"/>
                    </w:rPr>
                    <w:t>约</w:t>
                  </w:r>
                  <w:r>
                    <w:rPr>
                      <w:rFonts w:eastAsia="宋体" w:cs="Times New Roman"/>
                      <w:color w:val="000000"/>
                      <w:kern w:val="0"/>
                      <w:sz w:val="21"/>
                    </w:rPr>
                    <w:t>30</w:t>
                  </w:r>
                  <w:r>
                    <w:rPr>
                      <w:rFonts w:hint="eastAsia" w:eastAsia="宋体" w:cs="Times New Roman"/>
                      <w:color w:val="000000"/>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eastAsia="宋体" w:cs="Times New Roman"/>
                      <w:color w:val="000000"/>
                      <w:kern w:val="0"/>
                      <w:sz w:val="21"/>
                    </w:rPr>
                    <w:t>5</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hint="eastAsia" w:hAnsi="宋体" w:eastAsia="宋体" w:cs="Times New Roman"/>
                      <w:color w:val="000000"/>
                      <w:sz w:val="21"/>
                    </w:rPr>
                    <w:t>茅岭头社区</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cs="Times New Roman"/>
                      <w:color w:val="000000" w:themeColor="text1"/>
                      <w:sz w:val="21"/>
                    </w:rPr>
                    <w:t>西南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sz w:val="21"/>
                    </w:rPr>
                  </w:pPr>
                  <w:r>
                    <w:rPr>
                      <w:rFonts w:cs="Times New Roman"/>
                      <w:color w:val="000000" w:themeColor="text1"/>
                      <w:sz w:val="21"/>
                    </w:rPr>
                    <w:t>874</w:t>
                  </w:r>
                  <w:r>
                    <w:rPr>
                      <w:rFonts w:hint="eastAsia" w:cs="Times New Roman"/>
                      <w:color w:val="000000" w:themeColor="text1"/>
                      <w:sz w:val="21"/>
                    </w:rPr>
                    <w:t>m</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Times New Roman"/>
                      <w:color w:val="000000"/>
                      <w:kern w:val="0"/>
                      <w:sz w:val="21"/>
                    </w:rPr>
                    <w:t>约</w:t>
                  </w:r>
                  <w:r>
                    <w:rPr>
                      <w:rFonts w:eastAsia="宋体" w:cs="Times New Roman"/>
                      <w:color w:val="000000"/>
                      <w:kern w:val="0"/>
                      <w:sz w:val="21"/>
                    </w:rPr>
                    <w:t>30</w:t>
                  </w:r>
                  <w:r>
                    <w:rPr>
                      <w:rFonts w:hint="eastAsia" w:eastAsia="宋体" w:cs="Times New Roman"/>
                      <w:color w:val="000000"/>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eastAsia="宋体" w:cs="Times New Roman"/>
                      <w:color w:val="000000"/>
                      <w:kern w:val="0"/>
                      <w:sz w:val="21"/>
                    </w:rPr>
                    <w:t>6</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hint="eastAsia" w:hAnsi="宋体" w:eastAsia="宋体" w:cs="Times New Roman"/>
                      <w:color w:val="000000"/>
                      <w:sz w:val="21"/>
                    </w:rPr>
                    <w:t>王家屋场</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cs="Times New Roman"/>
                      <w:color w:val="000000" w:themeColor="text1"/>
                      <w:sz w:val="21"/>
                    </w:rPr>
                    <w:t>西南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sz w:val="21"/>
                    </w:rPr>
                  </w:pPr>
                  <w:r>
                    <w:rPr>
                      <w:rFonts w:cs="Times New Roman"/>
                      <w:color w:val="000000" w:themeColor="text1"/>
                      <w:sz w:val="21"/>
                    </w:rPr>
                    <w:t>1254</w:t>
                  </w:r>
                  <w:r>
                    <w:rPr>
                      <w:rFonts w:hint="eastAsia" w:cs="Times New Roman"/>
                      <w:color w:val="000000" w:themeColor="text1"/>
                      <w:sz w:val="21"/>
                    </w:rPr>
                    <w:t>m</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Times New Roman"/>
                      <w:color w:val="000000"/>
                      <w:kern w:val="0"/>
                      <w:sz w:val="21"/>
                    </w:rPr>
                    <w:t>约</w:t>
                  </w:r>
                  <w:r>
                    <w:rPr>
                      <w:rFonts w:eastAsia="宋体" w:cs="Times New Roman"/>
                      <w:color w:val="000000"/>
                      <w:kern w:val="0"/>
                      <w:sz w:val="21"/>
                    </w:rPr>
                    <w:t>120</w:t>
                  </w:r>
                  <w:r>
                    <w:rPr>
                      <w:rFonts w:hint="eastAsia" w:eastAsia="宋体" w:cs="Times New Roman"/>
                      <w:color w:val="000000"/>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8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eastAsia="宋体" w:cs="Times New Roman"/>
                      <w:color w:val="000000"/>
                      <w:kern w:val="0"/>
                      <w:sz w:val="21"/>
                    </w:rPr>
                    <w:t>7</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hint="eastAsia" w:hAnsi="宋体" w:eastAsia="宋体" w:cs="Times New Roman"/>
                      <w:color w:val="000000"/>
                      <w:sz w:val="21"/>
                    </w:rPr>
                    <w:t>杨树港村</w:t>
                  </w:r>
                </w:p>
              </w:tc>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eastAsia="宋体" w:cs="Times New Roman"/>
                      <w:color w:val="000000"/>
                      <w:sz w:val="21"/>
                    </w:rPr>
                  </w:pPr>
                  <w:r>
                    <w:rPr>
                      <w:rFonts w:cs="Times New Roman"/>
                      <w:color w:val="000000" w:themeColor="text1"/>
                      <w:sz w:val="21"/>
                    </w:rPr>
                    <w:t>西南</w:t>
                  </w:r>
                </w:p>
              </w:tc>
              <w:tc>
                <w:tcPr>
                  <w:tcW w:w="72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sz w:val="21"/>
                    </w:rPr>
                  </w:pPr>
                  <w:r>
                    <w:rPr>
                      <w:rFonts w:cs="Times New Roman"/>
                      <w:color w:val="000000" w:themeColor="text1"/>
                      <w:sz w:val="21"/>
                    </w:rPr>
                    <w:t>1997</w:t>
                  </w:r>
                  <w:r>
                    <w:rPr>
                      <w:rFonts w:hint="eastAsia" w:cs="Times New Roman"/>
                      <w:color w:val="000000" w:themeColor="text1"/>
                      <w:sz w:val="21"/>
                    </w:rPr>
                    <w:t>m</w:t>
                  </w:r>
                </w:p>
              </w:tc>
              <w:tc>
                <w:tcPr>
                  <w:tcW w:w="6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村庄</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Times New Roman"/>
                      <w:color w:val="000000"/>
                      <w:kern w:val="0"/>
                      <w:sz w:val="21"/>
                    </w:rPr>
                    <w:t>约</w:t>
                  </w:r>
                  <w:r>
                    <w:rPr>
                      <w:rFonts w:eastAsia="宋体" w:cs="Times New Roman"/>
                      <w:color w:val="000000"/>
                      <w:kern w:val="0"/>
                      <w:sz w:val="21"/>
                    </w:rPr>
                    <w:t>300</w:t>
                  </w:r>
                  <w:r>
                    <w:rPr>
                      <w:rFonts w:hint="eastAsia" w:eastAsia="宋体" w:cs="Times New Roman"/>
                      <w:color w:val="000000"/>
                      <w:kern w:val="0"/>
                      <w:sz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Times New Roman"/>
                      <w:color w:val="000000" w:themeColor="text1"/>
                      <w:kern w:val="0"/>
                      <w:sz w:val="21"/>
                    </w:rPr>
                    <w:t>8</w:t>
                  </w:r>
                </w:p>
              </w:tc>
              <w:tc>
                <w:tcPr>
                  <w:tcW w:w="18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hAnsi="宋体" w:eastAsia="宋体" w:cs="Times New Roman"/>
                      <w:color w:val="000000"/>
                      <w:sz w:val="21"/>
                    </w:rPr>
                  </w:pPr>
                  <w:r>
                    <w:rPr>
                      <w:rFonts w:hint="eastAsia" w:hAnsi="宋体" w:eastAsia="宋体" w:cs="Times New Roman"/>
                      <w:color w:val="0000FF"/>
                      <w:sz w:val="21"/>
                    </w:rPr>
                    <w:t>龙安寺附近居民</w:t>
                  </w:r>
                </w:p>
              </w:tc>
              <w:tc>
                <w:tcPr>
                  <w:tcW w:w="10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hAnsi="宋体" w:eastAsia="宋体" w:cs="Times New Roman"/>
                      <w:color w:val="0000FF"/>
                      <w:sz w:val="21"/>
                    </w:rPr>
                    <w:t>西南</w:t>
                  </w:r>
                </w:p>
              </w:tc>
              <w:tc>
                <w:tcPr>
                  <w:tcW w:w="12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cs="Times New Roman"/>
                      <w:color w:val="000000" w:themeColor="text1"/>
                      <w:sz w:val="21"/>
                    </w:rPr>
                  </w:pPr>
                  <w:r>
                    <w:rPr>
                      <w:rFonts w:hint="eastAsia" w:cs="Times New Roman"/>
                      <w:color w:val="000000" w:themeColor="text1"/>
                      <w:sz w:val="21"/>
                    </w:rPr>
                    <w:t>1548m</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宋体"/>
                      <w:color w:val="000000"/>
                      <w:kern w:val="0"/>
                      <w:sz w:val="21"/>
                    </w:rPr>
                  </w:pPr>
                  <w:r>
                    <w:rPr>
                      <w:rFonts w:hint="eastAsia" w:eastAsia="宋体" w:cs="宋体"/>
                      <w:color w:val="000000" w:themeColor="text1"/>
                      <w:kern w:val="0"/>
                      <w:sz w:val="21"/>
                    </w:rPr>
                    <w:t>村庄</w:t>
                  </w:r>
                </w:p>
              </w:tc>
              <w:tc>
                <w:tcPr>
                  <w:tcW w:w="12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Times New Roman"/>
                      <w:color w:val="000000" w:themeColor="text1"/>
                      <w:kern w:val="0"/>
                      <w:sz w:val="21"/>
                    </w:rPr>
                    <w:t>约30人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4013"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厂址周边</w:t>
                  </w:r>
                  <w:r>
                    <w:rPr>
                      <w:rFonts w:eastAsia="宋体" w:cs="Times New Roman"/>
                      <w:color w:val="000000"/>
                      <w:kern w:val="0"/>
                      <w:sz w:val="21"/>
                    </w:rPr>
                    <w:t>500m</w:t>
                  </w:r>
                  <w:r>
                    <w:rPr>
                      <w:rFonts w:hint="eastAsia" w:eastAsia="宋体" w:cs="宋体"/>
                      <w:color w:val="000000"/>
                      <w:kern w:val="0"/>
                      <w:sz w:val="21"/>
                    </w:rPr>
                    <w:t>范围内人口小计</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约200人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Calibri" w:hAnsi="Calibri" w:eastAsia="宋体" w:cs="Times New Roman"/>
                      <w:sz w:val="21"/>
                      <w:szCs w:val="22"/>
                    </w:rPr>
                  </w:pPr>
                </w:p>
              </w:tc>
              <w:tc>
                <w:tcPr>
                  <w:tcW w:w="4013"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厂址周边</w:t>
                  </w:r>
                  <w:r>
                    <w:rPr>
                      <w:rFonts w:eastAsia="宋体" w:cs="Times New Roman"/>
                      <w:color w:val="000000"/>
                      <w:kern w:val="0"/>
                      <w:sz w:val="21"/>
                    </w:rPr>
                    <w:t>5km</w:t>
                  </w:r>
                  <w:r>
                    <w:rPr>
                      <w:rFonts w:hint="eastAsia" w:eastAsia="宋体" w:cs="宋体"/>
                      <w:color w:val="000000"/>
                      <w:kern w:val="0"/>
                      <w:sz w:val="21"/>
                    </w:rPr>
                    <w:t>范围内人口小计</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s="Times New Roman"/>
                      <w:color w:val="000000"/>
                      <w:kern w:val="0"/>
                      <w:sz w:val="21"/>
                    </w:rPr>
                  </w:pPr>
                  <w:r>
                    <w:rPr>
                      <w:rFonts w:hint="eastAsia" w:eastAsia="宋体" w:cs="宋体"/>
                      <w:color w:val="000000"/>
                      <w:kern w:val="0"/>
                      <w:sz w:val="21"/>
                    </w:rPr>
                    <w:t>约</w:t>
                  </w:r>
                  <w:r>
                    <w:rPr>
                      <w:rFonts w:eastAsia="宋体" w:cs="宋体"/>
                      <w:color w:val="000000"/>
                      <w:kern w:val="0"/>
                      <w:sz w:val="21"/>
                    </w:rPr>
                    <w:t>9000</w:t>
                  </w:r>
                  <w:r>
                    <w:rPr>
                      <w:rFonts w:hint="eastAsia" w:eastAsia="宋体" w:cs="宋体"/>
                      <w:color w:val="000000"/>
                      <w:kern w:val="0"/>
                      <w:sz w:val="21"/>
                    </w:rPr>
                    <w:t>人</w:t>
                  </w:r>
                </w:p>
              </w:tc>
            </w:tr>
          </w:tbl>
          <w:p>
            <w:pPr>
              <w:pStyle w:val="8"/>
            </w:pPr>
            <w:r>
              <w:t>环境风险潜势初判</w:t>
            </w:r>
          </w:p>
          <w:p>
            <w:pPr>
              <w:adjustRightInd w:val="0"/>
              <w:spacing w:line="360" w:lineRule="auto"/>
              <w:ind w:firstLine="480" w:firstLineChars="200"/>
              <w:outlineLvl w:val="3"/>
              <w:rPr>
                <w:rFonts w:cs="Times New Roman"/>
                <w:b/>
                <w:bCs/>
                <w:color w:val="000000"/>
              </w:rPr>
            </w:pPr>
            <w:r>
              <w:rPr>
                <w:rFonts w:cs="Times New Roman"/>
              </w:rPr>
              <w:t>1、</w:t>
            </w:r>
            <w:r>
              <w:rPr>
                <w:rFonts w:cs="Times New Roman"/>
                <w:b/>
                <w:bCs/>
                <w:color w:val="000000"/>
              </w:rPr>
              <w:t>项目危险物质及工艺系统危险性（P）的分级</w:t>
            </w:r>
          </w:p>
          <w:p>
            <w:pPr>
              <w:pStyle w:val="31"/>
              <w:adjustRightInd w:val="0"/>
              <w:spacing w:after="0" w:line="360" w:lineRule="auto"/>
              <w:ind w:firstLine="504" w:firstLineChars="200"/>
              <w:rPr>
                <w:rFonts w:cs="Times New Roman"/>
                <w:color w:val="000000"/>
                <w:spacing w:val="6"/>
              </w:rPr>
            </w:pPr>
            <w:r>
              <w:rPr>
                <w:rFonts w:cs="Times New Roman"/>
                <w:color w:val="000000"/>
                <w:spacing w:val="6"/>
              </w:rPr>
              <w:t>分析建设项目生产、使用、储存过程中涉及的有毒有害、易燃易爆物质，参见附录 B 确定危险物质的临界量。定量分析危险物质数量与临界量的比值（Q）和所属行业及生产工艺特点（M），按附录 C 对危险物质及工艺系统危险性（P）等级进行判断。</w:t>
            </w:r>
          </w:p>
          <w:p>
            <w:pPr>
              <w:pStyle w:val="31"/>
              <w:adjustRightInd w:val="0"/>
              <w:spacing w:after="0" w:line="360" w:lineRule="auto"/>
              <w:ind w:firstLine="504" w:firstLineChars="200"/>
              <w:rPr>
                <w:rFonts w:cs="Times New Roman"/>
                <w:color w:val="000000"/>
                <w:spacing w:val="6"/>
              </w:rPr>
            </w:pPr>
            <w:r>
              <w:rPr>
                <w:rFonts w:cs="Times New Roman"/>
                <w:color w:val="000000"/>
                <w:spacing w:val="6"/>
              </w:rPr>
              <w:t>（1）危险物质数量与临界量比值（Q）</w:t>
            </w:r>
          </w:p>
          <w:p>
            <w:pPr>
              <w:autoSpaceDE w:val="0"/>
              <w:autoSpaceDN w:val="0"/>
              <w:adjustRightInd w:val="0"/>
              <w:spacing w:line="360" w:lineRule="auto"/>
              <w:ind w:firstLine="480" w:firstLineChars="200"/>
              <w:jc w:val="left"/>
              <w:rPr>
                <w:rFonts w:cs="Times New Roman"/>
              </w:rPr>
            </w:pPr>
            <w:r>
              <w:rPr>
                <w:rFonts w:cs="Times New Roman"/>
              </w:rPr>
              <w:t>根据《建设项目环境风险评价技术导则》(HJ169—2018)对项目使用的化学品进行环境风险潜势判断，计算所涉及的每种危险物质在厂界内的最大存在总量与其在附录B中对应临界量的比值Q。在不同厂区的同一种物质，按其在厂界内的最大存在总量计算。当只涉及一种危险物质时，计算该物质的总量与其临界量比值，即为Q；当存在多种危险物质时，则按式（1）计算物质总量与其临界量比值（Q）：</w:t>
            </w:r>
          </w:p>
          <w:p>
            <w:pPr>
              <w:autoSpaceDE w:val="0"/>
              <w:autoSpaceDN w:val="0"/>
              <w:adjustRightInd w:val="0"/>
              <w:snapToGrid w:val="0"/>
              <w:spacing w:line="360" w:lineRule="auto"/>
              <w:ind w:firstLine="200"/>
              <w:jc w:val="center"/>
              <w:rPr>
                <w:rFonts w:cs="Times New Roman"/>
              </w:rPr>
            </w:pPr>
            <m:oMathPara>
              <m:oMath>
                <m:r>
                  <m:rPr>
                    <m:sty m:val="p"/>
                  </m:rPr>
                  <w:rPr>
                    <w:rFonts w:ascii="Cambria Math" w:hAnsi="Cambria Math" w:cs="Times New Roman"/>
                  </w:rPr>
                  <m:t>Q=</m:t>
                </m:r>
                <m:f>
                  <m:fPr>
                    <m:ctrlPr>
                      <w:rPr>
                        <w:rFonts w:ascii="Cambria Math" w:hAnsi="Cambria Math" w:cs="Times New Roman"/>
                        <w:bCs/>
                      </w:rPr>
                    </m:ctrlPr>
                  </m:fPr>
                  <m:num>
                    <m:r>
                      <m:rPr>
                        <m:sty m:val="p"/>
                      </m:rPr>
                      <w:rPr>
                        <w:rFonts w:ascii="Cambria Math" w:hAnsi="Cambria Math" w:cs="Times New Roman"/>
                      </w:rPr>
                      <m:t>q1</m:t>
                    </m:r>
                    <m:ctrlPr>
                      <w:rPr>
                        <w:rFonts w:ascii="Cambria Math" w:hAnsi="Cambria Math" w:cs="Times New Roman"/>
                        <w:bCs/>
                      </w:rPr>
                    </m:ctrlPr>
                  </m:num>
                  <m:den>
                    <m:r>
                      <m:rPr>
                        <m:sty m:val="p"/>
                      </m:rPr>
                      <w:rPr>
                        <w:rFonts w:ascii="Cambria Math" w:hAnsi="Cambria Math" w:cs="Times New Roman"/>
                      </w:rPr>
                      <m:t>Q1</m:t>
                    </m:r>
                    <m:ctrlPr>
                      <w:rPr>
                        <w:rFonts w:ascii="Cambria Math" w:hAnsi="Cambria Math" w:cs="Times New Roman"/>
                        <w:bCs/>
                      </w:rPr>
                    </m:ctrlPr>
                  </m:den>
                </m:f>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q2</m:t>
                    </m:r>
                    <m:ctrlPr>
                      <w:rPr>
                        <w:rFonts w:ascii="Cambria Math" w:hAnsi="Cambria Math" w:cs="Times New Roman"/>
                        <w:bCs/>
                      </w:rPr>
                    </m:ctrlPr>
                  </m:num>
                  <m:den>
                    <m:r>
                      <m:rPr>
                        <m:sty m:val="p"/>
                      </m:rPr>
                      <w:rPr>
                        <w:rFonts w:ascii="Cambria Math" w:hAnsi="Cambria Math" w:cs="Times New Roman"/>
                      </w:rPr>
                      <m:t>Q2</m:t>
                    </m:r>
                    <m:ctrlPr>
                      <w:rPr>
                        <w:rFonts w:ascii="Cambria Math" w:hAnsi="Cambria Math" w:cs="Times New Roman"/>
                        <w:bCs/>
                      </w:rPr>
                    </m:ctrlPr>
                  </m:den>
                </m:f>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qn</m:t>
                    </m:r>
                    <m:ctrlPr>
                      <w:rPr>
                        <w:rFonts w:ascii="Cambria Math" w:hAnsi="Cambria Math" w:cs="Times New Roman"/>
                        <w:bCs/>
                      </w:rPr>
                    </m:ctrlPr>
                  </m:num>
                  <m:den>
                    <m:r>
                      <m:rPr>
                        <m:sty m:val="p"/>
                      </m:rPr>
                      <w:rPr>
                        <w:rFonts w:ascii="Cambria Math" w:hAnsi="Cambria Math" w:cs="Times New Roman"/>
                      </w:rPr>
                      <m:t>Qn</m:t>
                    </m:r>
                    <m:ctrlPr>
                      <w:rPr>
                        <w:rFonts w:ascii="Cambria Math" w:hAnsi="Cambria Math" w:cs="Times New Roman"/>
                        <w:bCs/>
                      </w:rPr>
                    </m:ctrlPr>
                  </m:den>
                </m:f>
                <m:r>
                  <m:rPr>
                    <m:sty m:val="p"/>
                  </m:rPr>
                  <w:rPr>
                    <w:rFonts w:ascii="Cambria Math" w:hAnsi="Cambria Math" w:cs="Times New Roman"/>
                  </w:rPr>
                  <m:t>≥1</m:t>
                </m:r>
              </m:oMath>
            </m:oMathPara>
          </w:p>
          <w:p>
            <w:pPr>
              <w:autoSpaceDE w:val="0"/>
              <w:autoSpaceDN w:val="0"/>
              <w:adjustRightInd w:val="0"/>
              <w:snapToGrid w:val="0"/>
              <w:spacing w:line="360" w:lineRule="auto"/>
              <w:ind w:firstLine="200"/>
              <w:jc w:val="left"/>
              <w:rPr>
                <w:rFonts w:cs="Times New Roman"/>
                <w:color w:val="000000" w:themeColor="text1"/>
              </w:rPr>
            </w:pPr>
            <w:r>
              <w:rPr>
                <w:rFonts w:cs="Times New Roman"/>
                <w:color w:val="000000" w:themeColor="text1"/>
              </w:rPr>
              <w:t>式中：q1, q2, …, qn——每种危险物质的最大储存量，t；</w:t>
            </w:r>
          </w:p>
          <w:p>
            <w:pPr>
              <w:autoSpaceDE w:val="0"/>
              <w:autoSpaceDN w:val="0"/>
              <w:adjustRightInd w:val="0"/>
              <w:snapToGrid w:val="0"/>
              <w:spacing w:line="360" w:lineRule="auto"/>
              <w:ind w:firstLine="916" w:firstLineChars="382"/>
              <w:jc w:val="left"/>
              <w:rPr>
                <w:rFonts w:cs="Times New Roman"/>
                <w:color w:val="000000" w:themeColor="text1"/>
              </w:rPr>
            </w:pPr>
            <w:r>
              <w:rPr>
                <w:rFonts w:cs="Times New Roman"/>
                <w:color w:val="000000" w:themeColor="text1"/>
              </w:rPr>
              <w:t>Q1, Q2, …, Qn——每种危险物质的临界量，t。</w:t>
            </w:r>
          </w:p>
          <w:p>
            <w:pPr>
              <w:pStyle w:val="31"/>
              <w:adjustRightInd w:val="0"/>
              <w:spacing w:after="0" w:line="360" w:lineRule="auto"/>
              <w:ind w:firstLine="480" w:firstLineChars="200"/>
              <w:rPr>
                <w:rFonts w:cs="Times New Roman"/>
                <w:color w:val="000000"/>
                <w:spacing w:val="6"/>
              </w:rPr>
            </w:pPr>
            <w:r>
              <w:rPr>
                <w:rFonts w:cs="Times New Roman"/>
                <w:color w:val="000000" w:themeColor="text1"/>
              </w:rPr>
              <w:t>当Q＜1时，该项目环境风险潜势为Ⅰ。当Q≥1时，将Q值划分为：①1≤Q＜10；②10≤Q＜100；③Q≥100。对照附录B突发环境事件风险物质及临界量清单，</w:t>
            </w:r>
            <w:r>
              <w:rPr>
                <w:rFonts w:cs="Times New Roman"/>
                <w:color w:val="000000"/>
                <w:spacing w:val="6"/>
              </w:rPr>
              <w:t>本项目所在厂区所涉及的各种危险物质在厂界内的最大存在总量与其在风险导则附录B中对应临界量的比值Q，详见下表所示。</w:t>
            </w:r>
          </w:p>
          <w:p>
            <w:pPr>
              <w:jc w:val="center"/>
              <w:rPr>
                <w:rFonts w:cs="Times New Roman"/>
                <w:b/>
                <w:sz w:val="21"/>
              </w:rPr>
            </w:pPr>
            <w:r>
              <w:rPr>
                <w:rFonts w:cs="Times New Roman"/>
                <w:b/>
                <w:sz w:val="21"/>
              </w:rPr>
              <w:t>表7.2-2</w:t>
            </w:r>
            <w:r>
              <w:rPr>
                <w:rFonts w:hint="eastAsia" w:cs="Times New Roman"/>
                <w:b/>
                <w:sz w:val="21"/>
              </w:rPr>
              <w:t>8</w:t>
            </w:r>
            <w:r>
              <w:rPr>
                <w:rFonts w:cs="Times New Roman"/>
                <w:b/>
                <w:sz w:val="21"/>
              </w:rPr>
              <w:t xml:space="preserve">  </w:t>
            </w:r>
            <w:r>
              <w:rPr>
                <w:rFonts w:cs="Times New Roman"/>
                <w:b/>
                <w:color w:val="000000"/>
                <w:sz w:val="21"/>
              </w:rPr>
              <w:t>项目危险物质与临界量比值Q计算结果</w:t>
            </w:r>
          </w:p>
          <w:tbl>
            <w:tblPr>
              <w:tblStyle w:val="3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675"/>
              <w:gridCol w:w="1675"/>
              <w:gridCol w:w="1675"/>
              <w:gridCol w:w="134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序号</w:t>
                  </w:r>
                </w:p>
              </w:tc>
              <w:tc>
                <w:tcPr>
                  <w:tcW w:w="1023"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危险物质名称</w:t>
                  </w:r>
                </w:p>
              </w:tc>
              <w:tc>
                <w:tcPr>
                  <w:tcW w:w="1023"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储存方式</w:t>
                  </w:r>
                </w:p>
              </w:tc>
              <w:tc>
                <w:tcPr>
                  <w:tcW w:w="1023"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最大贮存量q（t）</w:t>
                  </w:r>
                </w:p>
              </w:tc>
              <w:tc>
                <w:tcPr>
                  <w:tcW w:w="824"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临界量Q（t）</w:t>
                  </w:r>
                </w:p>
              </w:tc>
              <w:tc>
                <w:tcPr>
                  <w:tcW w:w="539"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1</w:t>
                  </w:r>
                </w:p>
              </w:tc>
              <w:tc>
                <w:tcPr>
                  <w:tcW w:w="1023" w:type="pct"/>
                  <w:vAlign w:val="center"/>
                </w:tcPr>
                <w:p>
                  <w:pPr>
                    <w:snapToGrid w:val="0"/>
                    <w:jc w:val="center"/>
                    <w:rPr>
                      <w:rFonts w:cs="Times New Roman"/>
                      <w:bCs/>
                      <w:color w:val="000000" w:themeColor="text1"/>
                      <w:sz w:val="21"/>
                    </w:rPr>
                  </w:pPr>
                  <w:r>
                    <w:rPr>
                      <w:rFonts w:cs="Times New Roman"/>
                      <w:bCs/>
                      <w:color w:val="000000" w:themeColor="text1"/>
                      <w:kern w:val="0"/>
                      <w:sz w:val="21"/>
                    </w:rPr>
                    <w:t>废润滑油</w:t>
                  </w:r>
                </w:p>
              </w:tc>
              <w:tc>
                <w:tcPr>
                  <w:tcW w:w="1023"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kern w:val="0"/>
                      <w:sz w:val="21"/>
                      <w:szCs w:val="21"/>
                    </w:rPr>
                    <w:t>桶装</w:t>
                  </w:r>
                </w:p>
              </w:tc>
              <w:tc>
                <w:tcPr>
                  <w:tcW w:w="1023"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0.02</w:t>
                  </w:r>
                </w:p>
              </w:tc>
              <w:tc>
                <w:tcPr>
                  <w:tcW w:w="824"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kern w:val="0"/>
                      <w:sz w:val="21"/>
                      <w:szCs w:val="21"/>
                    </w:rPr>
                    <w:t>2500</w:t>
                  </w:r>
                </w:p>
              </w:tc>
              <w:tc>
                <w:tcPr>
                  <w:tcW w:w="539"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2</w:t>
                  </w:r>
                </w:p>
              </w:tc>
              <w:tc>
                <w:tcPr>
                  <w:tcW w:w="1023" w:type="pct"/>
                  <w:vAlign w:val="center"/>
                </w:tcPr>
                <w:p>
                  <w:pPr>
                    <w:snapToGrid w:val="0"/>
                    <w:jc w:val="center"/>
                    <w:rPr>
                      <w:rFonts w:cs="Times New Roman"/>
                      <w:bCs/>
                      <w:color w:val="000000" w:themeColor="text1"/>
                      <w:sz w:val="21"/>
                    </w:rPr>
                  </w:pPr>
                  <w:r>
                    <w:rPr>
                      <w:rFonts w:cs="Times New Roman"/>
                      <w:bCs/>
                      <w:color w:val="000000" w:themeColor="text1"/>
                      <w:kern w:val="0"/>
                      <w:sz w:val="21"/>
                    </w:rPr>
                    <w:t>润滑油</w:t>
                  </w:r>
                </w:p>
              </w:tc>
              <w:tc>
                <w:tcPr>
                  <w:tcW w:w="1023"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kern w:val="0"/>
                      <w:sz w:val="21"/>
                      <w:szCs w:val="21"/>
                    </w:rPr>
                    <w:t>桶装</w:t>
                  </w:r>
                </w:p>
              </w:tc>
              <w:tc>
                <w:tcPr>
                  <w:tcW w:w="1023"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0.01</w:t>
                  </w:r>
                </w:p>
              </w:tc>
              <w:tc>
                <w:tcPr>
                  <w:tcW w:w="824"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kern w:val="0"/>
                      <w:sz w:val="21"/>
                      <w:szCs w:val="21"/>
                    </w:rPr>
                    <w:t>2500</w:t>
                  </w:r>
                </w:p>
              </w:tc>
              <w:tc>
                <w:tcPr>
                  <w:tcW w:w="539"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3</w:t>
                  </w:r>
                </w:p>
              </w:tc>
              <w:tc>
                <w:tcPr>
                  <w:tcW w:w="1023" w:type="pct"/>
                  <w:vAlign w:val="center"/>
                </w:tcPr>
                <w:p>
                  <w:pPr>
                    <w:snapToGrid w:val="0"/>
                    <w:jc w:val="center"/>
                    <w:rPr>
                      <w:rFonts w:cs="Times New Roman"/>
                      <w:bCs/>
                      <w:color w:val="000000" w:themeColor="text1"/>
                      <w:kern w:val="0"/>
                      <w:sz w:val="21"/>
                    </w:rPr>
                  </w:pPr>
                  <w:r>
                    <w:rPr>
                      <w:rFonts w:cs="Times New Roman"/>
                      <w:bCs/>
                      <w:color w:val="000000" w:themeColor="text1"/>
                      <w:kern w:val="0"/>
                      <w:sz w:val="21"/>
                    </w:rPr>
                    <w:t>柴油</w:t>
                  </w:r>
                </w:p>
              </w:tc>
              <w:tc>
                <w:tcPr>
                  <w:tcW w:w="1023" w:type="pct"/>
                  <w:vAlign w:val="center"/>
                </w:tcPr>
                <w:p>
                  <w:pPr>
                    <w:pStyle w:val="15"/>
                    <w:spacing w:line="240" w:lineRule="auto"/>
                    <w:rPr>
                      <w:rFonts w:cs="Times New Roman" w:eastAsiaTheme="minorEastAsia"/>
                      <w:b w:val="0"/>
                      <w:bCs/>
                      <w:color w:val="000000" w:themeColor="text1"/>
                      <w:kern w:val="0"/>
                      <w:sz w:val="21"/>
                      <w:szCs w:val="21"/>
                    </w:rPr>
                  </w:pPr>
                  <w:r>
                    <w:rPr>
                      <w:rFonts w:cs="Times New Roman" w:eastAsiaTheme="minorEastAsia"/>
                      <w:b w:val="0"/>
                      <w:bCs/>
                      <w:color w:val="000000" w:themeColor="text1"/>
                      <w:kern w:val="0"/>
                      <w:sz w:val="21"/>
                      <w:szCs w:val="21"/>
                    </w:rPr>
                    <w:t>桶装</w:t>
                  </w:r>
                </w:p>
              </w:tc>
              <w:tc>
                <w:tcPr>
                  <w:tcW w:w="1023"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0.01</w:t>
                  </w:r>
                </w:p>
              </w:tc>
              <w:tc>
                <w:tcPr>
                  <w:tcW w:w="824" w:type="pct"/>
                  <w:vAlign w:val="center"/>
                </w:tcPr>
                <w:p>
                  <w:pPr>
                    <w:pStyle w:val="15"/>
                    <w:spacing w:line="240" w:lineRule="auto"/>
                    <w:rPr>
                      <w:rFonts w:cs="Times New Roman" w:eastAsiaTheme="minorEastAsia"/>
                      <w:b w:val="0"/>
                      <w:bCs/>
                      <w:color w:val="000000" w:themeColor="text1"/>
                      <w:kern w:val="0"/>
                      <w:sz w:val="21"/>
                      <w:szCs w:val="21"/>
                    </w:rPr>
                  </w:pPr>
                  <w:r>
                    <w:rPr>
                      <w:rFonts w:cs="Times New Roman" w:eastAsiaTheme="minorEastAsia"/>
                      <w:b w:val="0"/>
                      <w:bCs/>
                      <w:color w:val="000000" w:themeColor="text1"/>
                      <w:kern w:val="0"/>
                      <w:sz w:val="21"/>
                      <w:szCs w:val="21"/>
                    </w:rPr>
                    <w:t>2500</w:t>
                  </w:r>
                </w:p>
              </w:tc>
              <w:tc>
                <w:tcPr>
                  <w:tcW w:w="539"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0" w:type="pct"/>
                  <w:gridSpan w:val="5"/>
                  <w:vAlign w:val="center"/>
                </w:tcPr>
                <w:p>
                  <w:pPr>
                    <w:pStyle w:val="15"/>
                    <w:spacing w:line="240" w:lineRule="auto"/>
                    <w:ind w:left="480" w:firstLine="420"/>
                    <w:rPr>
                      <w:rFonts w:cs="Times New Roman" w:eastAsiaTheme="minorEastAsia"/>
                      <w:b w:val="0"/>
                      <w:bCs/>
                      <w:color w:val="000000" w:themeColor="text1"/>
                      <w:sz w:val="21"/>
                      <w:szCs w:val="21"/>
                    </w:rPr>
                  </w:pPr>
                  <w:r>
                    <w:rPr>
                      <w:rFonts w:cs="Times New Roman" w:eastAsiaTheme="minorEastAsia"/>
                      <w:b w:val="0"/>
                      <w:bCs/>
                      <w:color w:val="000000" w:themeColor="text1"/>
                      <w:kern w:val="0"/>
                      <w:sz w:val="21"/>
                      <w:szCs w:val="21"/>
                    </w:rPr>
                    <w:t>项目Q值Σ</w:t>
                  </w:r>
                </w:p>
              </w:tc>
              <w:tc>
                <w:tcPr>
                  <w:tcW w:w="539" w:type="pct"/>
                  <w:vAlign w:val="center"/>
                </w:tcPr>
                <w:p>
                  <w:pPr>
                    <w:pStyle w:val="15"/>
                    <w:spacing w:line="240" w:lineRule="auto"/>
                    <w:rPr>
                      <w:rFonts w:cs="Times New Roman" w:eastAsiaTheme="minorEastAsia"/>
                      <w:b w:val="0"/>
                      <w:bCs/>
                      <w:color w:val="000000" w:themeColor="text1"/>
                      <w:sz w:val="21"/>
                      <w:szCs w:val="21"/>
                    </w:rPr>
                  </w:pPr>
                  <w:r>
                    <w:rPr>
                      <w:rFonts w:cs="Times New Roman" w:eastAsiaTheme="minorEastAsia"/>
                      <w:b w:val="0"/>
                      <w:bCs/>
                      <w:color w:val="000000" w:themeColor="text1"/>
                      <w:sz w:val="21"/>
                      <w:szCs w:val="21"/>
                    </w:rPr>
                    <w:t>0.000016</w:t>
                  </w:r>
                </w:p>
              </w:tc>
            </w:tr>
          </w:tbl>
          <w:p>
            <w:pPr>
              <w:spacing w:line="360" w:lineRule="auto"/>
              <w:ind w:firstLine="480" w:firstLineChars="200"/>
              <w:rPr>
                <w:rFonts w:cs="Times New Roman"/>
                <w:color w:val="000000"/>
              </w:rPr>
            </w:pPr>
            <w:r>
              <w:rPr>
                <w:rFonts w:cs="Times New Roman"/>
              </w:rPr>
              <w:t>由上表可知，本项目危险物质数量与临界量比值Q</w:t>
            </w:r>
            <w:r>
              <w:rPr>
                <w:rFonts w:cs="Times New Roman"/>
                <w:color w:val="000000"/>
              </w:rPr>
              <w:t>=0.000016。</w:t>
            </w:r>
          </w:p>
          <w:p>
            <w:pPr>
              <w:spacing w:line="360" w:lineRule="auto"/>
              <w:ind w:firstLine="480" w:firstLineChars="200"/>
              <w:rPr>
                <w:rFonts w:cs="Times New Roman"/>
              </w:rPr>
            </w:pPr>
            <w:r>
              <w:rPr>
                <w:rFonts w:cs="Times New Roman"/>
              </w:rPr>
              <w:t>（2）行业及生产工艺（M）</w:t>
            </w:r>
          </w:p>
          <w:p>
            <w:pPr>
              <w:spacing w:line="360" w:lineRule="auto"/>
              <w:ind w:firstLine="480" w:firstLineChars="200"/>
              <w:rPr>
                <w:rFonts w:cs="Times New Roman"/>
                <w:color w:val="000000"/>
                <w:spacing w:val="6"/>
              </w:rPr>
            </w:pPr>
            <w:r>
              <w:rPr>
                <w:rFonts w:cs="Times New Roman"/>
              </w:rPr>
              <w:t>本项目属于水泥制品制造，根据风险导则，</w:t>
            </w:r>
            <w:r>
              <w:rPr>
                <w:rFonts w:cs="Times New Roman"/>
                <w:color w:val="000000"/>
                <w:spacing w:val="6"/>
              </w:rPr>
              <w:t>项目行业及生产工艺（M）由下表确定。</w:t>
            </w:r>
          </w:p>
          <w:p>
            <w:pPr>
              <w:ind w:firstLine="422" w:firstLineChars="200"/>
              <w:jc w:val="center"/>
              <w:rPr>
                <w:rFonts w:cs="Times New Roman"/>
                <w:b/>
                <w:sz w:val="21"/>
              </w:rPr>
            </w:pPr>
            <w:r>
              <w:rPr>
                <w:rFonts w:cs="Times New Roman"/>
                <w:b/>
                <w:sz w:val="21"/>
              </w:rPr>
              <w:t>表7.2-2</w:t>
            </w:r>
            <w:r>
              <w:rPr>
                <w:rFonts w:hint="eastAsia" w:cs="Times New Roman"/>
                <w:b/>
                <w:sz w:val="21"/>
              </w:rPr>
              <w:t>9</w:t>
            </w:r>
            <w:r>
              <w:rPr>
                <w:rFonts w:cs="Times New Roman"/>
                <w:b/>
                <w:sz w:val="21"/>
              </w:rPr>
              <w:t xml:space="preserve">  项目行业及生产工艺（M）值</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30"/>
              <w:gridCol w:w="3206"/>
              <w:gridCol w:w="1285"/>
              <w:gridCol w:w="1270"/>
              <w:gridCol w:w="13"/>
              <w:gridCol w:w="1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01" w:type="pct"/>
                  <w:vAlign w:val="center"/>
                </w:tcPr>
                <w:p>
                  <w:pPr>
                    <w:autoSpaceDE w:val="0"/>
                    <w:autoSpaceDN w:val="0"/>
                    <w:adjustRightInd w:val="0"/>
                    <w:snapToGrid w:val="0"/>
                    <w:jc w:val="center"/>
                    <w:rPr>
                      <w:rFonts w:cs="Times New Roman"/>
                      <w:color w:val="000000"/>
                      <w:sz w:val="21"/>
                    </w:rPr>
                  </w:pPr>
                  <w:r>
                    <w:rPr>
                      <w:rFonts w:cs="Times New Roman"/>
                      <w:color w:val="000000"/>
                      <w:sz w:val="21"/>
                    </w:rPr>
                    <w:t>行业</w:t>
                  </w:r>
                </w:p>
              </w:tc>
              <w:tc>
                <w:tcPr>
                  <w:tcW w:w="1931" w:type="pct"/>
                  <w:vAlign w:val="center"/>
                </w:tcPr>
                <w:p>
                  <w:pPr>
                    <w:autoSpaceDE w:val="0"/>
                    <w:autoSpaceDN w:val="0"/>
                    <w:adjustRightInd w:val="0"/>
                    <w:snapToGrid w:val="0"/>
                    <w:jc w:val="center"/>
                    <w:rPr>
                      <w:rFonts w:cs="Times New Roman"/>
                      <w:color w:val="000000"/>
                      <w:sz w:val="21"/>
                    </w:rPr>
                  </w:pPr>
                  <w:r>
                    <w:rPr>
                      <w:rFonts w:cs="Times New Roman"/>
                      <w:color w:val="000000"/>
                      <w:sz w:val="21"/>
                    </w:rPr>
                    <w:t>评估依据</w:t>
                  </w:r>
                </w:p>
              </w:tc>
              <w:tc>
                <w:tcPr>
                  <w:tcW w:w="774" w:type="pct"/>
                  <w:vAlign w:val="center"/>
                </w:tcPr>
                <w:p>
                  <w:pPr>
                    <w:autoSpaceDE w:val="0"/>
                    <w:autoSpaceDN w:val="0"/>
                    <w:adjustRightInd w:val="0"/>
                    <w:snapToGrid w:val="0"/>
                    <w:jc w:val="center"/>
                    <w:rPr>
                      <w:rFonts w:cs="Times New Roman"/>
                      <w:color w:val="000000"/>
                      <w:sz w:val="21"/>
                    </w:rPr>
                  </w:pPr>
                  <w:r>
                    <w:rPr>
                      <w:rFonts w:cs="Times New Roman"/>
                      <w:color w:val="000000"/>
                      <w:sz w:val="21"/>
                    </w:rPr>
                    <w:t>分值</w:t>
                  </w:r>
                </w:p>
              </w:tc>
              <w:tc>
                <w:tcPr>
                  <w:tcW w:w="773" w:type="pct"/>
                  <w:gridSpan w:val="2"/>
                  <w:vAlign w:val="center"/>
                </w:tcPr>
                <w:p>
                  <w:pPr>
                    <w:autoSpaceDE w:val="0"/>
                    <w:autoSpaceDN w:val="0"/>
                    <w:adjustRightInd w:val="0"/>
                    <w:snapToGrid w:val="0"/>
                    <w:jc w:val="center"/>
                    <w:rPr>
                      <w:rFonts w:cs="Times New Roman"/>
                      <w:color w:val="000000"/>
                      <w:sz w:val="21"/>
                    </w:rPr>
                  </w:pPr>
                  <w:r>
                    <w:rPr>
                      <w:rFonts w:cs="Times New Roman"/>
                      <w:color w:val="000000"/>
                      <w:sz w:val="21"/>
                    </w:rPr>
                    <w:t>项目情况</w:t>
                  </w:r>
                </w:p>
              </w:tc>
              <w:tc>
                <w:tcPr>
                  <w:tcW w:w="721" w:type="pct"/>
                  <w:vAlign w:val="center"/>
                </w:tcPr>
                <w:p>
                  <w:pPr>
                    <w:autoSpaceDE w:val="0"/>
                    <w:autoSpaceDN w:val="0"/>
                    <w:adjustRightInd w:val="0"/>
                    <w:snapToGrid w:val="0"/>
                    <w:jc w:val="center"/>
                    <w:rPr>
                      <w:rFonts w:cs="Times New Roman"/>
                      <w:color w:val="000000"/>
                      <w:sz w:val="21"/>
                    </w:rPr>
                  </w:pPr>
                  <w:r>
                    <w:rPr>
                      <w:rFonts w:cs="Times New Roman"/>
                      <w:color w:val="000000"/>
                      <w:sz w:val="21"/>
                    </w:rPr>
                    <w:t>本项目得分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01" w:type="pct"/>
                  <w:vMerge w:val="restart"/>
                  <w:vAlign w:val="center"/>
                </w:tcPr>
                <w:p>
                  <w:pPr>
                    <w:autoSpaceDE w:val="0"/>
                    <w:autoSpaceDN w:val="0"/>
                    <w:adjustRightInd w:val="0"/>
                    <w:snapToGrid w:val="0"/>
                    <w:jc w:val="center"/>
                    <w:rPr>
                      <w:rFonts w:cs="Times New Roman"/>
                      <w:color w:val="000000"/>
                      <w:sz w:val="21"/>
                    </w:rPr>
                  </w:pPr>
                  <w:r>
                    <w:rPr>
                      <w:rFonts w:cs="Times New Roman"/>
                      <w:color w:val="000000"/>
                      <w:sz w:val="21"/>
                    </w:rPr>
                    <w:t>石化、化工、医药、轻工、化纤、有色冶炼等</w:t>
                  </w:r>
                </w:p>
              </w:tc>
              <w:tc>
                <w:tcPr>
                  <w:tcW w:w="1931" w:type="pct"/>
                  <w:vAlign w:val="center"/>
                </w:tcPr>
                <w:p>
                  <w:pPr>
                    <w:autoSpaceDE w:val="0"/>
                    <w:autoSpaceDN w:val="0"/>
                    <w:adjustRightInd w:val="0"/>
                    <w:snapToGrid w:val="0"/>
                    <w:jc w:val="center"/>
                    <w:rPr>
                      <w:rFonts w:cs="Times New Roman"/>
                      <w:color w:val="000000"/>
                      <w:sz w:val="21"/>
                    </w:rPr>
                  </w:pPr>
                  <w:r>
                    <w:rPr>
                      <w:rFonts w:cs="Times New Roman"/>
                      <w:color w:val="000000"/>
                      <w:sz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774" w:type="pct"/>
                  <w:vAlign w:val="center"/>
                </w:tcPr>
                <w:p>
                  <w:pPr>
                    <w:autoSpaceDE w:val="0"/>
                    <w:autoSpaceDN w:val="0"/>
                    <w:adjustRightInd w:val="0"/>
                    <w:snapToGrid w:val="0"/>
                    <w:jc w:val="center"/>
                    <w:rPr>
                      <w:rFonts w:cs="Times New Roman"/>
                      <w:color w:val="000000"/>
                      <w:sz w:val="21"/>
                    </w:rPr>
                  </w:pPr>
                  <w:r>
                    <w:rPr>
                      <w:rFonts w:cs="Times New Roman"/>
                      <w:color w:val="000000"/>
                      <w:sz w:val="21"/>
                    </w:rPr>
                    <w:t>10/套</w:t>
                  </w:r>
                </w:p>
              </w:tc>
              <w:tc>
                <w:tcPr>
                  <w:tcW w:w="773" w:type="pct"/>
                  <w:gridSpan w:val="2"/>
                  <w:vAlign w:val="center"/>
                </w:tcPr>
                <w:p>
                  <w:pPr>
                    <w:autoSpaceDE w:val="0"/>
                    <w:autoSpaceDN w:val="0"/>
                    <w:adjustRightInd w:val="0"/>
                    <w:snapToGrid w:val="0"/>
                    <w:jc w:val="center"/>
                    <w:rPr>
                      <w:rFonts w:cs="Times New Roman"/>
                      <w:color w:val="000000"/>
                      <w:sz w:val="21"/>
                    </w:rPr>
                  </w:pPr>
                  <w:r>
                    <w:rPr>
                      <w:rFonts w:cs="Times New Roman"/>
                      <w:color w:val="000000"/>
                      <w:sz w:val="21"/>
                    </w:rPr>
                    <w:t>本项目不涉及</w:t>
                  </w:r>
                </w:p>
              </w:tc>
              <w:tc>
                <w:tcPr>
                  <w:tcW w:w="721" w:type="pct"/>
                  <w:vAlign w:val="center"/>
                </w:tcPr>
                <w:p>
                  <w:pPr>
                    <w:autoSpaceDE w:val="0"/>
                    <w:autoSpaceDN w:val="0"/>
                    <w:adjustRightInd w:val="0"/>
                    <w:snapToGrid w:val="0"/>
                    <w:jc w:val="center"/>
                    <w:rPr>
                      <w:rFonts w:cs="Times New Roman"/>
                      <w:color w:val="000000"/>
                      <w:sz w:val="21"/>
                    </w:rPr>
                  </w:pPr>
                  <w:r>
                    <w:rPr>
                      <w:rFonts w:cs="Times New Roman"/>
                      <w:color w:val="0000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 w:hRule="atLeast"/>
                <w:jc w:val="center"/>
              </w:trPr>
              <w:tc>
                <w:tcPr>
                  <w:tcW w:w="801" w:type="pct"/>
                  <w:vMerge w:val="continue"/>
                  <w:vAlign w:val="center"/>
                </w:tcPr>
                <w:p>
                  <w:pPr>
                    <w:adjustRightInd w:val="0"/>
                    <w:snapToGrid w:val="0"/>
                    <w:jc w:val="center"/>
                    <w:rPr>
                      <w:rFonts w:cs="Times New Roman"/>
                      <w:color w:val="000000"/>
                      <w:sz w:val="21"/>
                    </w:rPr>
                  </w:pPr>
                </w:p>
              </w:tc>
              <w:tc>
                <w:tcPr>
                  <w:tcW w:w="1931" w:type="pct"/>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无机酸制酸工艺、焦化工艺</w:t>
                  </w:r>
                </w:p>
              </w:tc>
              <w:tc>
                <w:tcPr>
                  <w:tcW w:w="774" w:type="pct"/>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5/套</w:t>
                  </w:r>
                </w:p>
              </w:tc>
              <w:tc>
                <w:tcPr>
                  <w:tcW w:w="773" w:type="pct"/>
                  <w:gridSpan w:val="2"/>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本项目不涉及</w:t>
                  </w:r>
                </w:p>
              </w:tc>
              <w:tc>
                <w:tcPr>
                  <w:tcW w:w="721" w:type="pct"/>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801" w:type="pct"/>
                  <w:vMerge w:val="continue"/>
                  <w:vAlign w:val="center"/>
                </w:tcPr>
                <w:p>
                  <w:pPr>
                    <w:adjustRightInd w:val="0"/>
                    <w:snapToGrid w:val="0"/>
                    <w:jc w:val="center"/>
                    <w:rPr>
                      <w:rFonts w:cs="Times New Roman"/>
                      <w:color w:val="000000"/>
                      <w:sz w:val="21"/>
                    </w:rPr>
                  </w:pPr>
                </w:p>
              </w:tc>
              <w:tc>
                <w:tcPr>
                  <w:tcW w:w="1931" w:type="pct"/>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其他高温或高压，且涉及危险物质的工艺过程</w:t>
                  </w:r>
                  <w:r>
                    <w:rPr>
                      <w:rFonts w:ascii="Times New Roman" w:hAnsi="Times New Roman" w:cs="Times New Roman" w:eastAsiaTheme="minorEastAsia"/>
                      <w:color w:val="000000"/>
                      <w:sz w:val="21"/>
                      <w:szCs w:val="21"/>
                      <w:vertAlign w:val="superscript"/>
                    </w:rPr>
                    <w:t>a</w:t>
                  </w:r>
                  <w:r>
                    <w:rPr>
                      <w:rFonts w:ascii="Times New Roman" w:hAnsi="Times New Roman" w:cs="Times New Roman" w:eastAsiaTheme="minorEastAsia"/>
                      <w:color w:val="000000"/>
                      <w:sz w:val="21"/>
                      <w:szCs w:val="21"/>
                    </w:rPr>
                    <w:t>、危险物质贮存罐区</w:t>
                  </w:r>
                </w:p>
              </w:tc>
              <w:tc>
                <w:tcPr>
                  <w:tcW w:w="774" w:type="pct"/>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5/套（罐区）</w:t>
                  </w:r>
                </w:p>
              </w:tc>
              <w:tc>
                <w:tcPr>
                  <w:tcW w:w="773" w:type="pct"/>
                  <w:gridSpan w:val="2"/>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本项目不涉及</w:t>
                  </w:r>
                </w:p>
              </w:tc>
              <w:tc>
                <w:tcPr>
                  <w:tcW w:w="721" w:type="pct"/>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01" w:type="pct"/>
                  <w:vAlign w:val="center"/>
                </w:tcPr>
                <w:p>
                  <w:pPr>
                    <w:adjustRightInd w:val="0"/>
                    <w:snapToGrid w:val="0"/>
                    <w:jc w:val="center"/>
                    <w:rPr>
                      <w:rFonts w:cs="Times New Roman"/>
                      <w:color w:val="000000"/>
                      <w:sz w:val="21"/>
                    </w:rPr>
                  </w:pPr>
                  <w:r>
                    <w:rPr>
                      <w:rFonts w:cs="Times New Roman"/>
                      <w:color w:val="000000"/>
                      <w:sz w:val="21"/>
                    </w:rPr>
                    <w:t>其他</w:t>
                  </w:r>
                </w:p>
              </w:tc>
              <w:tc>
                <w:tcPr>
                  <w:tcW w:w="1931" w:type="pct"/>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涉及危险物质使用、贮存的项目</w:t>
                  </w:r>
                </w:p>
              </w:tc>
              <w:tc>
                <w:tcPr>
                  <w:tcW w:w="774" w:type="pct"/>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w:t>
                  </w:r>
                </w:p>
              </w:tc>
              <w:tc>
                <w:tcPr>
                  <w:tcW w:w="773" w:type="pct"/>
                  <w:gridSpan w:val="2"/>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本项目使用润滑油</w:t>
                  </w:r>
                </w:p>
              </w:tc>
              <w:tc>
                <w:tcPr>
                  <w:tcW w:w="721" w:type="pct"/>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506" w:type="pct"/>
                  <w:gridSpan w:val="3"/>
                  <w:vAlign w:val="center"/>
                </w:tcPr>
                <w:p>
                  <w:pPr>
                    <w:autoSpaceDE w:val="0"/>
                    <w:autoSpaceDN w:val="0"/>
                    <w:adjustRightInd w:val="0"/>
                    <w:snapToGrid w:val="0"/>
                    <w:jc w:val="center"/>
                    <w:rPr>
                      <w:rFonts w:cs="Times New Roman"/>
                      <w:color w:val="000000"/>
                      <w:sz w:val="21"/>
                    </w:rPr>
                  </w:pPr>
                  <w:r>
                    <w:rPr>
                      <w:rFonts w:cs="Times New Roman"/>
                      <w:color w:val="000000"/>
                      <w:sz w:val="21"/>
                    </w:rPr>
                    <w:t>a 高温指工艺温度≥300 ℃，高压指压力容器的设计压力（P）≥10.0 MPa；b 长输管道运输项目应按站场、管线分段进行评价。</w:t>
                  </w:r>
                </w:p>
              </w:tc>
              <w:tc>
                <w:tcPr>
                  <w:tcW w:w="765" w:type="pct"/>
                  <w:vAlign w:val="center"/>
                </w:tcPr>
                <w:p>
                  <w:pPr>
                    <w:autoSpaceDE w:val="0"/>
                    <w:autoSpaceDN w:val="0"/>
                    <w:adjustRightInd w:val="0"/>
                    <w:snapToGrid w:val="0"/>
                    <w:jc w:val="center"/>
                    <w:rPr>
                      <w:rFonts w:cs="Times New Roman"/>
                      <w:color w:val="000000"/>
                      <w:sz w:val="21"/>
                    </w:rPr>
                  </w:pPr>
                  <w:r>
                    <w:rPr>
                      <w:rFonts w:cs="Times New Roman"/>
                      <w:color w:val="000000"/>
                      <w:sz w:val="21"/>
                    </w:rPr>
                    <w:t>本项目合计</w:t>
                  </w:r>
                </w:p>
              </w:tc>
              <w:tc>
                <w:tcPr>
                  <w:tcW w:w="729" w:type="pct"/>
                  <w:gridSpan w:val="2"/>
                  <w:vAlign w:val="center"/>
                </w:tcPr>
                <w:p>
                  <w:pPr>
                    <w:pStyle w:val="139"/>
                    <w:widowControl/>
                    <w:autoSpaceDN/>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w:t>
                  </w:r>
                </w:p>
              </w:tc>
            </w:tr>
          </w:tbl>
          <w:p>
            <w:pPr>
              <w:adjustRightInd w:val="0"/>
              <w:snapToGrid w:val="0"/>
              <w:spacing w:line="360" w:lineRule="auto"/>
              <w:ind w:firstLine="480" w:firstLineChars="200"/>
              <w:rPr>
                <w:rFonts w:cs="Times New Roman"/>
              </w:rPr>
            </w:pPr>
            <w:r>
              <w:rPr>
                <w:rFonts w:cs="Times New Roman"/>
              </w:rPr>
              <w:t>由上表可知，本项目行业及生产工艺M=5，为M4类</w:t>
            </w:r>
          </w:p>
          <w:p>
            <w:pPr>
              <w:pStyle w:val="31"/>
              <w:spacing w:after="0" w:line="360" w:lineRule="auto"/>
              <w:ind w:firstLine="504" w:firstLineChars="200"/>
              <w:rPr>
                <w:rFonts w:cs="Times New Roman"/>
                <w:color w:val="000000"/>
                <w:sz w:val="21"/>
              </w:rPr>
            </w:pPr>
            <w:r>
              <w:rPr>
                <w:rFonts w:cs="Times New Roman"/>
                <w:color w:val="000000"/>
                <w:spacing w:val="6"/>
              </w:rPr>
              <w:t>（3）危险物质及工艺系统危险性（P）分级</w:t>
            </w:r>
          </w:p>
          <w:p>
            <w:pPr>
              <w:spacing w:line="360" w:lineRule="auto"/>
              <w:ind w:firstLine="504" w:firstLineChars="200"/>
              <w:rPr>
                <w:rFonts w:cs="Times New Roman"/>
                <w:color w:val="000000"/>
                <w:spacing w:val="6"/>
              </w:rPr>
            </w:pPr>
            <w:r>
              <w:rPr>
                <w:rFonts w:cs="Times New Roman"/>
                <w:color w:val="000000"/>
                <w:spacing w:val="6"/>
              </w:rPr>
              <w:t>根据危险物质数量与临界量比值（Q）和行业及生产工艺（M），按照下表确定危险物质及工艺系统危险性等级（P）。</w:t>
            </w:r>
          </w:p>
          <w:p>
            <w:pPr>
              <w:pStyle w:val="31"/>
              <w:adjustRightInd w:val="0"/>
              <w:spacing w:after="0"/>
              <w:ind w:firstLine="422" w:firstLineChars="200"/>
              <w:jc w:val="center"/>
              <w:rPr>
                <w:rFonts w:cs="Times New Roman"/>
                <w:b/>
                <w:sz w:val="21"/>
              </w:rPr>
            </w:pPr>
            <w:r>
              <w:rPr>
                <w:rFonts w:cs="Times New Roman"/>
                <w:b/>
                <w:sz w:val="21"/>
              </w:rPr>
              <w:t>表7.2-</w:t>
            </w:r>
            <w:r>
              <w:rPr>
                <w:rFonts w:hint="eastAsia" w:cs="Times New Roman"/>
                <w:b/>
                <w:sz w:val="21"/>
              </w:rPr>
              <w:t>30</w:t>
            </w:r>
            <w:r>
              <w:rPr>
                <w:rFonts w:cs="Times New Roman"/>
                <w:b/>
                <w:sz w:val="21"/>
              </w:rPr>
              <w:t xml:space="preserve">  </w:t>
            </w:r>
            <w:r>
              <w:rPr>
                <w:rFonts w:cs="Times New Roman"/>
                <w:b/>
                <w:color w:val="000000"/>
                <w:sz w:val="21"/>
              </w:rPr>
              <w:t>危险物质及工艺系统危险性等级判断（P）</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49"/>
              <w:gridCol w:w="1589"/>
              <w:gridCol w:w="1589"/>
              <w:gridCol w:w="1589"/>
              <w:gridCol w:w="15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4" w:type="pct"/>
                  <w:vMerge w:val="restart"/>
                  <w:vAlign w:val="center"/>
                </w:tcPr>
                <w:p>
                  <w:pPr>
                    <w:pStyle w:val="139"/>
                    <w:jc w:val="center"/>
                    <w:rPr>
                      <w:rFonts w:ascii="Times New Roman" w:hAnsi="Times New Roman" w:cs="Times New Roman" w:eastAsiaTheme="minorEastAsia"/>
                      <w:color w:val="000000"/>
                      <w:spacing w:val="7"/>
                      <w:sz w:val="21"/>
                      <w:szCs w:val="21"/>
                    </w:rPr>
                  </w:pPr>
                  <w:r>
                    <w:rPr>
                      <w:rFonts w:ascii="Times New Roman" w:hAnsi="Times New Roman" w:cs="Times New Roman" w:eastAsiaTheme="minorEastAsia"/>
                      <w:color w:val="000000"/>
                      <w:spacing w:val="7"/>
                      <w:sz w:val="21"/>
                      <w:szCs w:val="21"/>
                    </w:rPr>
                    <w:t>危险物质数量</w:t>
                  </w:r>
                </w:p>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pacing w:val="7"/>
                      <w:sz w:val="21"/>
                      <w:szCs w:val="21"/>
                    </w:rPr>
                    <w:t>与临界量比值</w:t>
                  </w:r>
                  <w:r>
                    <w:rPr>
                      <w:rFonts w:ascii="Times New Roman" w:hAnsi="Times New Roman" w:cs="Times New Roman" w:eastAsiaTheme="minorEastAsia"/>
                      <w:color w:val="000000"/>
                      <w:spacing w:val="3"/>
                      <w:sz w:val="21"/>
                      <w:szCs w:val="21"/>
                    </w:rPr>
                    <w:t>（</w:t>
                  </w:r>
                  <w:r>
                    <w:rPr>
                      <w:rFonts w:ascii="Times New Roman" w:hAnsi="Times New Roman" w:cs="Times New Roman" w:eastAsiaTheme="minorEastAsia"/>
                      <w:i/>
                      <w:iCs/>
                      <w:color w:val="000000"/>
                      <w:spacing w:val="3"/>
                      <w:sz w:val="21"/>
                      <w:szCs w:val="21"/>
                    </w:rPr>
                    <w:t>Q</w:t>
                  </w:r>
                  <w:r>
                    <w:rPr>
                      <w:rFonts w:ascii="Times New Roman" w:hAnsi="Times New Roman" w:cs="Times New Roman" w:eastAsiaTheme="minorEastAsia"/>
                      <w:color w:val="000000"/>
                      <w:spacing w:val="3"/>
                      <w:sz w:val="21"/>
                      <w:szCs w:val="21"/>
                    </w:rPr>
                    <w:t>）</w:t>
                  </w:r>
                </w:p>
              </w:tc>
              <w:tc>
                <w:tcPr>
                  <w:tcW w:w="3826" w:type="pct"/>
                  <w:gridSpan w:val="4"/>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行业及生产工艺（M）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4" w:type="pct"/>
                  <w:vMerge w:val="continue"/>
                  <w:vAlign w:val="center"/>
                </w:tcPr>
                <w:p>
                  <w:pPr>
                    <w:jc w:val="center"/>
                    <w:rPr>
                      <w:rFonts w:cs="Times New Roman"/>
                      <w:color w:val="000000"/>
                      <w:sz w:val="21"/>
                    </w:rPr>
                  </w:pPr>
                </w:p>
              </w:tc>
              <w:tc>
                <w:tcPr>
                  <w:tcW w:w="957" w:type="pct"/>
                  <w:tcBorders>
                    <w:bottom w:val="single" w:color="000000" w:sz="4" w:space="0"/>
                  </w:tcBorders>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M1</w:t>
                  </w:r>
                </w:p>
              </w:tc>
              <w:tc>
                <w:tcPr>
                  <w:tcW w:w="957"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M2</w:t>
                  </w:r>
                </w:p>
              </w:tc>
              <w:tc>
                <w:tcPr>
                  <w:tcW w:w="957"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M3</w:t>
                  </w:r>
                </w:p>
              </w:tc>
              <w:tc>
                <w:tcPr>
                  <w:tcW w:w="95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M4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i/>
                      <w:iCs/>
                      <w:color w:val="000000"/>
                      <w:sz w:val="21"/>
                      <w:szCs w:val="21"/>
                    </w:rPr>
                    <w:t>Q</w:t>
                  </w:r>
                  <w:r>
                    <w:rPr>
                      <w:rFonts w:ascii="Times New Roman" w:hAnsi="Times New Roman" w:cs="Times New Roman" w:eastAsiaTheme="minorEastAsia"/>
                      <w:color w:val="000000"/>
                      <w:sz w:val="21"/>
                      <w:szCs w:val="21"/>
                    </w:rPr>
                    <w:t>≥100</w:t>
                  </w:r>
                </w:p>
              </w:tc>
              <w:tc>
                <w:tcPr>
                  <w:tcW w:w="957" w:type="pct"/>
                  <w:shd w:val="clear" w:color="auto" w:fill="FFFFFF" w:themeFill="background1"/>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P1</w:t>
                  </w:r>
                </w:p>
              </w:tc>
              <w:tc>
                <w:tcPr>
                  <w:tcW w:w="957"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P1</w:t>
                  </w:r>
                </w:p>
              </w:tc>
              <w:tc>
                <w:tcPr>
                  <w:tcW w:w="957"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P2</w:t>
                  </w:r>
                </w:p>
              </w:tc>
              <w:tc>
                <w:tcPr>
                  <w:tcW w:w="95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10≤</w:t>
                  </w:r>
                  <w:r>
                    <w:rPr>
                      <w:rFonts w:ascii="Times New Roman" w:hAnsi="Times New Roman" w:cs="Times New Roman" w:eastAsiaTheme="minorEastAsia"/>
                      <w:i/>
                      <w:iCs/>
                      <w:color w:val="000000"/>
                      <w:sz w:val="21"/>
                      <w:szCs w:val="21"/>
                    </w:rPr>
                    <w:t>Q</w:t>
                  </w:r>
                  <w:r>
                    <w:rPr>
                      <w:rFonts w:ascii="Times New Roman" w:hAnsi="Times New Roman" w:cs="Times New Roman" w:eastAsiaTheme="minorEastAsia"/>
                      <w:color w:val="000000"/>
                      <w:sz w:val="21"/>
                      <w:szCs w:val="21"/>
                    </w:rPr>
                    <w:t>＜100</w:t>
                  </w:r>
                </w:p>
              </w:tc>
              <w:tc>
                <w:tcPr>
                  <w:tcW w:w="957"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P1</w:t>
                  </w:r>
                </w:p>
              </w:tc>
              <w:tc>
                <w:tcPr>
                  <w:tcW w:w="957"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P2</w:t>
                  </w:r>
                </w:p>
              </w:tc>
              <w:tc>
                <w:tcPr>
                  <w:tcW w:w="957" w:type="pct"/>
                  <w:vAlign w:val="center"/>
                </w:tcPr>
                <w:p>
                  <w:pPr>
                    <w:pStyle w:val="139"/>
                    <w:jc w:val="center"/>
                    <w:rPr>
                      <w:rFonts w:ascii="Times New Roman" w:hAnsi="Times New Roman" w:cs="Times New Roman" w:eastAsiaTheme="minorEastAsia"/>
                      <w:b/>
                      <w:bCs/>
                      <w:color w:val="000000"/>
                      <w:sz w:val="21"/>
                      <w:szCs w:val="21"/>
                    </w:rPr>
                  </w:pPr>
                  <w:r>
                    <w:rPr>
                      <w:rFonts w:ascii="Times New Roman" w:hAnsi="Times New Roman" w:cs="Times New Roman" w:eastAsiaTheme="minorEastAsia"/>
                      <w:color w:val="000000"/>
                      <w:sz w:val="21"/>
                      <w:szCs w:val="21"/>
                    </w:rPr>
                    <w:t>P3</w:t>
                  </w:r>
                </w:p>
              </w:tc>
              <w:tc>
                <w:tcPr>
                  <w:tcW w:w="95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w:t>
                  </w:r>
                  <w:r>
                    <w:rPr>
                      <w:rFonts w:ascii="Times New Roman" w:hAnsi="Times New Roman" w:cs="Times New Roman" w:eastAsiaTheme="minorEastAsia"/>
                      <w:i/>
                      <w:iCs/>
                      <w:color w:val="000000"/>
                      <w:sz w:val="21"/>
                      <w:szCs w:val="21"/>
                    </w:rPr>
                    <w:t>Q</w:t>
                  </w:r>
                  <w:r>
                    <w:rPr>
                      <w:rFonts w:ascii="Times New Roman" w:hAnsi="Times New Roman" w:cs="Times New Roman" w:eastAsiaTheme="minorEastAsia"/>
                      <w:color w:val="000000"/>
                      <w:sz w:val="21"/>
                      <w:szCs w:val="21"/>
                    </w:rPr>
                    <w:t>＜10</w:t>
                  </w:r>
                </w:p>
              </w:tc>
              <w:tc>
                <w:tcPr>
                  <w:tcW w:w="957"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P2</w:t>
                  </w:r>
                </w:p>
              </w:tc>
              <w:tc>
                <w:tcPr>
                  <w:tcW w:w="957"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P3</w:t>
                  </w:r>
                </w:p>
              </w:tc>
              <w:tc>
                <w:tcPr>
                  <w:tcW w:w="957"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P4</w:t>
                  </w:r>
                </w:p>
              </w:tc>
              <w:tc>
                <w:tcPr>
                  <w:tcW w:w="95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P4</w:t>
                  </w:r>
                </w:p>
              </w:tc>
            </w:tr>
          </w:tbl>
          <w:p>
            <w:pPr>
              <w:adjustRightInd w:val="0"/>
              <w:snapToGrid w:val="0"/>
              <w:spacing w:before="156" w:beforeLines="50" w:line="360" w:lineRule="auto"/>
              <w:ind w:firstLine="504"/>
              <w:rPr>
                <w:rFonts w:cs="Times New Roman"/>
                <w:color w:val="000000" w:themeColor="text1"/>
              </w:rPr>
            </w:pPr>
            <w:r>
              <w:rPr>
                <w:rFonts w:cs="Times New Roman"/>
                <w:color w:val="000000" w:themeColor="text1"/>
                <w:spacing w:val="6"/>
              </w:rPr>
              <w:t>本项目</w:t>
            </w:r>
            <w:r>
              <w:rPr>
                <w:rFonts w:cs="Times New Roman"/>
                <w:color w:val="000000" w:themeColor="text1"/>
              </w:rPr>
              <w:t>Q=0.000016，</w:t>
            </w:r>
            <w:r>
              <w:rPr>
                <w:rFonts w:cs="Times New Roman"/>
                <w:color w:val="000000" w:themeColor="text1"/>
                <w:spacing w:val="6"/>
              </w:rPr>
              <w:t>M</w:t>
            </w:r>
            <w:r>
              <w:rPr>
                <w:rFonts w:cs="Times New Roman"/>
                <w:color w:val="000000" w:themeColor="text1"/>
              </w:rPr>
              <w:t>=5，为M4类，根据上表可知，本项目危险物质及工艺系统危险性（P）的分级为P4。</w:t>
            </w:r>
          </w:p>
          <w:p>
            <w:pPr>
              <w:pStyle w:val="31"/>
              <w:adjustRightInd w:val="0"/>
              <w:spacing w:after="0" w:line="360" w:lineRule="auto"/>
              <w:ind w:firstLine="482" w:firstLineChars="200"/>
              <w:rPr>
                <w:rFonts w:cs="Times New Roman"/>
                <w:b/>
              </w:rPr>
            </w:pPr>
            <w:r>
              <w:rPr>
                <w:rFonts w:cs="Times New Roman"/>
                <w:b/>
              </w:rPr>
              <w:t>2、项目各环境要素敏感程度（E）的分级</w:t>
            </w:r>
          </w:p>
          <w:p>
            <w:pPr>
              <w:pStyle w:val="31"/>
              <w:adjustRightInd w:val="0"/>
              <w:snapToGrid w:val="0"/>
              <w:spacing w:after="0" w:line="360" w:lineRule="auto"/>
              <w:ind w:firstLine="482" w:firstLineChars="200"/>
              <w:rPr>
                <w:rFonts w:cs="Times New Roman"/>
                <w:b/>
              </w:rPr>
            </w:pPr>
            <w:r>
              <w:rPr>
                <w:rFonts w:cs="Times New Roman"/>
                <w:b/>
              </w:rPr>
              <w:t>（1）大气环境</w:t>
            </w:r>
          </w:p>
          <w:p>
            <w:pPr>
              <w:adjustRightInd w:val="0"/>
              <w:snapToGrid w:val="0"/>
              <w:spacing w:line="360" w:lineRule="auto"/>
              <w:ind w:firstLine="504" w:firstLineChars="200"/>
              <w:rPr>
                <w:rFonts w:cs="Times New Roman"/>
                <w:color w:val="000000"/>
              </w:rPr>
            </w:pPr>
            <w:r>
              <w:rPr>
                <w:rFonts w:cs="Times New Roman"/>
                <w:color w:val="000000"/>
                <w:spacing w:val="6"/>
              </w:rPr>
              <w:t>大气环境敏感程度</w:t>
            </w:r>
            <w:r>
              <w:rPr>
                <w:rFonts w:cs="Times New Roman"/>
                <w:color w:val="000000"/>
              </w:rPr>
              <w:t>依据环境敏感目标环境敏感性及人口密度划分环境风险受体的敏感性，共分为三种类型，E1为环境高度敏感区，E2为环境中度敏感区，E3为环境低度敏感区，分级原则见下表所示。</w:t>
            </w:r>
          </w:p>
          <w:p>
            <w:pPr>
              <w:pStyle w:val="31"/>
              <w:adjustRightInd w:val="0"/>
              <w:spacing w:after="0"/>
              <w:ind w:firstLine="422" w:firstLineChars="200"/>
              <w:jc w:val="center"/>
              <w:rPr>
                <w:rFonts w:cs="Times New Roman"/>
                <w:b/>
                <w:sz w:val="21"/>
              </w:rPr>
            </w:pPr>
            <w:r>
              <w:rPr>
                <w:rFonts w:cs="Times New Roman"/>
                <w:b/>
                <w:sz w:val="21"/>
              </w:rPr>
              <w:t>表7.2-</w:t>
            </w:r>
            <w:r>
              <w:rPr>
                <w:rFonts w:hint="eastAsia" w:cs="Times New Roman"/>
                <w:b/>
                <w:sz w:val="21"/>
              </w:rPr>
              <w:t>31</w:t>
            </w:r>
            <w:r>
              <w:rPr>
                <w:rFonts w:cs="Times New Roman"/>
                <w:b/>
                <w:sz w:val="21"/>
              </w:rPr>
              <w:t xml:space="preserve">  大气环境敏感程度分级</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5"/>
              <w:gridCol w:w="7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1" w:type="pct"/>
                  <w:vAlign w:val="center"/>
                </w:tcPr>
                <w:p>
                  <w:pPr>
                    <w:autoSpaceDE w:val="0"/>
                    <w:autoSpaceDN w:val="0"/>
                    <w:adjustRightInd w:val="0"/>
                    <w:snapToGrid w:val="0"/>
                    <w:jc w:val="center"/>
                    <w:rPr>
                      <w:rFonts w:hint="default" w:ascii="Times New Roman" w:hAnsi="Times New Roman" w:cs="Times New Roman"/>
                      <w:color w:val="000000"/>
                      <w:sz w:val="21"/>
                    </w:rPr>
                  </w:pPr>
                  <w:r>
                    <w:rPr>
                      <w:rFonts w:hint="default" w:ascii="Times New Roman" w:hAnsi="Times New Roman" w:cs="Times New Roman"/>
                      <w:color w:val="000000"/>
                      <w:sz w:val="21"/>
                    </w:rPr>
                    <w:t>分级</w:t>
                  </w:r>
                </w:p>
              </w:tc>
              <w:tc>
                <w:tcPr>
                  <w:tcW w:w="4568" w:type="pct"/>
                  <w:vAlign w:val="center"/>
                </w:tcPr>
                <w:p>
                  <w:pPr>
                    <w:autoSpaceDE w:val="0"/>
                    <w:autoSpaceDN w:val="0"/>
                    <w:adjustRightInd w:val="0"/>
                    <w:snapToGrid w:val="0"/>
                    <w:jc w:val="center"/>
                    <w:rPr>
                      <w:rFonts w:hint="default" w:ascii="Times New Roman" w:hAnsi="Times New Roman" w:cs="Times New Roman"/>
                      <w:color w:val="000000"/>
                      <w:sz w:val="21"/>
                    </w:rPr>
                  </w:pPr>
                  <w:r>
                    <w:rPr>
                      <w:rFonts w:hint="default" w:ascii="Times New Roman" w:hAnsi="Times New Roman" w:cs="Times New Roman"/>
                      <w:color w:val="000000"/>
                      <w:sz w:val="21"/>
                    </w:rPr>
                    <w:t>大气环境敏感性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1" w:type="pct"/>
                  <w:vAlign w:val="center"/>
                </w:tcPr>
                <w:p>
                  <w:pPr>
                    <w:autoSpaceDE w:val="0"/>
                    <w:autoSpaceDN w:val="0"/>
                    <w:adjustRightInd w:val="0"/>
                    <w:snapToGrid w:val="0"/>
                    <w:jc w:val="center"/>
                    <w:rPr>
                      <w:rFonts w:hint="default" w:ascii="Times New Roman" w:hAnsi="Times New Roman" w:cs="Times New Roman"/>
                      <w:color w:val="000000"/>
                      <w:sz w:val="21"/>
                    </w:rPr>
                  </w:pPr>
                  <w:r>
                    <w:rPr>
                      <w:rFonts w:hint="default" w:ascii="Times New Roman" w:hAnsi="Times New Roman" w:cs="Times New Roman"/>
                      <w:color w:val="000000"/>
                      <w:sz w:val="21"/>
                    </w:rPr>
                    <w:t>E1</w:t>
                  </w:r>
                </w:p>
              </w:tc>
              <w:tc>
                <w:tcPr>
                  <w:tcW w:w="4568" w:type="pct"/>
                  <w:vAlign w:val="center"/>
                </w:tcPr>
                <w:p>
                  <w:pPr>
                    <w:autoSpaceDE w:val="0"/>
                    <w:autoSpaceDN w:val="0"/>
                    <w:adjustRightInd w:val="0"/>
                    <w:snapToGrid w:val="0"/>
                    <w:jc w:val="center"/>
                    <w:rPr>
                      <w:rFonts w:hint="default" w:ascii="Times New Roman" w:hAnsi="Times New Roman" w:cs="Times New Roman"/>
                      <w:color w:val="000000"/>
                      <w:sz w:val="21"/>
                    </w:rPr>
                  </w:pPr>
                  <w:r>
                    <w:rPr>
                      <w:rFonts w:hint="default" w:ascii="Times New Roman" w:hAnsi="Times New Roman" w:cs="Times New Roman"/>
                      <w:color w:val="000000"/>
                      <w:sz w:val="21"/>
                    </w:rPr>
                    <w:t>周边5km 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1" w:type="pct"/>
                  <w:vAlign w:val="center"/>
                </w:tcPr>
                <w:p>
                  <w:pPr>
                    <w:autoSpaceDE w:val="0"/>
                    <w:autoSpaceDN w:val="0"/>
                    <w:adjustRightInd w:val="0"/>
                    <w:snapToGrid w:val="0"/>
                    <w:jc w:val="center"/>
                    <w:rPr>
                      <w:rFonts w:hint="default" w:ascii="Times New Roman" w:hAnsi="Times New Roman" w:cs="Times New Roman"/>
                      <w:color w:val="000000"/>
                      <w:sz w:val="21"/>
                    </w:rPr>
                  </w:pPr>
                  <w:r>
                    <w:rPr>
                      <w:rFonts w:hint="default" w:ascii="Times New Roman" w:hAnsi="Times New Roman" w:cs="Times New Roman"/>
                      <w:color w:val="000000"/>
                      <w:sz w:val="21"/>
                    </w:rPr>
                    <w:t>E2</w:t>
                  </w:r>
                </w:p>
              </w:tc>
              <w:tc>
                <w:tcPr>
                  <w:tcW w:w="4568" w:type="pct"/>
                  <w:vAlign w:val="center"/>
                </w:tcPr>
                <w:p>
                  <w:pPr>
                    <w:autoSpaceDE w:val="0"/>
                    <w:autoSpaceDN w:val="0"/>
                    <w:adjustRightInd w:val="0"/>
                    <w:snapToGrid w:val="0"/>
                    <w:jc w:val="center"/>
                    <w:rPr>
                      <w:rFonts w:hint="default" w:ascii="Times New Roman" w:hAnsi="Times New Roman" w:cs="Times New Roman"/>
                      <w:color w:val="000000"/>
                      <w:sz w:val="21"/>
                    </w:rPr>
                  </w:pPr>
                  <w:r>
                    <w:rPr>
                      <w:rFonts w:hint="default" w:ascii="Times New Roman" w:hAnsi="Times New Roman" w:cs="Times New Roman"/>
                      <w:color w:val="000000"/>
                      <w:sz w:val="21"/>
                    </w:rPr>
                    <w:t>周边5 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1" w:type="pct"/>
                  <w:vAlign w:val="center"/>
                </w:tcPr>
                <w:p>
                  <w:pPr>
                    <w:autoSpaceDE w:val="0"/>
                    <w:autoSpaceDN w:val="0"/>
                    <w:adjustRightInd w:val="0"/>
                    <w:snapToGrid w:val="0"/>
                    <w:jc w:val="center"/>
                    <w:rPr>
                      <w:rFonts w:hint="default" w:ascii="Times New Roman" w:hAnsi="Times New Roman" w:cs="Times New Roman"/>
                      <w:color w:val="000000"/>
                      <w:sz w:val="21"/>
                    </w:rPr>
                  </w:pPr>
                  <w:r>
                    <w:rPr>
                      <w:rFonts w:hint="default" w:ascii="Times New Roman" w:hAnsi="Times New Roman" w:cs="Times New Roman"/>
                      <w:color w:val="000000"/>
                      <w:sz w:val="21"/>
                    </w:rPr>
                    <w:t>E3</w:t>
                  </w:r>
                </w:p>
              </w:tc>
              <w:tc>
                <w:tcPr>
                  <w:tcW w:w="4568" w:type="pct"/>
                  <w:vAlign w:val="center"/>
                </w:tcPr>
                <w:p>
                  <w:pPr>
                    <w:autoSpaceDE w:val="0"/>
                    <w:autoSpaceDN w:val="0"/>
                    <w:adjustRightInd w:val="0"/>
                    <w:snapToGrid w:val="0"/>
                    <w:jc w:val="center"/>
                    <w:rPr>
                      <w:rFonts w:hint="default" w:ascii="Times New Roman" w:hAnsi="Times New Roman" w:cs="Times New Roman"/>
                      <w:color w:val="000000"/>
                      <w:sz w:val="21"/>
                    </w:rPr>
                  </w:pPr>
                  <w:r>
                    <w:rPr>
                      <w:rFonts w:hint="default" w:ascii="Times New Roman" w:hAnsi="Times New Roman" w:cs="Times New Roman"/>
                      <w:color w:val="000000"/>
                      <w:sz w:val="21"/>
                    </w:rPr>
                    <w:t>周边5km 范围内居住区、医疗卫生、文化教育、科研、行政办公等机构人口总数小于1万人；或周边500m范围内人口总数小于500人；油气、化学品输送管线管段周边200m范围内，每千米管段人口数小于100人</w:t>
                  </w:r>
                </w:p>
              </w:tc>
            </w:tr>
          </w:tbl>
          <w:p>
            <w:pPr>
              <w:adjustRightInd w:val="0"/>
              <w:snapToGrid w:val="0"/>
              <w:spacing w:line="360" w:lineRule="auto"/>
              <w:ind w:firstLine="504" w:firstLineChars="200"/>
              <w:rPr>
                <w:rFonts w:cs="Times New Roman"/>
                <w:color w:val="000000" w:themeColor="text1"/>
              </w:rPr>
            </w:pPr>
            <w:r>
              <w:rPr>
                <w:rFonts w:cs="Times New Roman"/>
                <w:color w:val="000000" w:themeColor="text1"/>
                <w:spacing w:val="6"/>
              </w:rPr>
              <w:t>本项目周边500m范围均位于临港新区，无居住区、医疗卫生、文化教育、科研、行政办公等机构，500m范围内总人口约</w:t>
            </w:r>
            <w:r>
              <w:rPr>
                <w:rFonts w:hint="eastAsia" w:cs="Times New Roman"/>
                <w:color w:val="000000" w:themeColor="text1"/>
                <w:spacing w:val="6"/>
              </w:rPr>
              <w:t>200</w:t>
            </w:r>
            <w:r>
              <w:rPr>
                <w:rFonts w:cs="Times New Roman"/>
                <w:color w:val="000000" w:themeColor="text1"/>
                <w:spacing w:val="6"/>
              </w:rPr>
              <w:t>人，均为工业园内企业员工。周边5km范围总人口约9000人。本项目大气环境敏感程度为</w:t>
            </w:r>
            <w:r>
              <w:rPr>
                <w:rFonts w:cs="Times New Roman"/>
                <w:bCs/>
                <w:color w:val="000000" w:themeColor="text1"/>
              </w:rPr>
              <w:t>E3</w:t>
            </w:r>
            <w:r>
              <w:rPr>
                <w:rFonts w:cs="Times New Roman"/>
                <w:color w:val="000000" w:themeColor="text1"/>
              </w:rPr>
              <w:t>，为环境低度敏感区。</w:t>
            </w:r>
          </w:p>
          <w:p>
            <w:pPr>
              <w:pStyle w:val="31"/>
              <w:adjustRightInd w:val="0"/>
              <w:spacing w:after="0" w:line="360" w:lineRule="auto"/>
              <w:ind w:firstLine="482" w:firstLineChars="200"/>
              <w:rPr>
                <w:rFonts w:cs="Times New Roman"/>
                <w:b/>
              </w:rPr>
            </w:pPr>
            <w:r>
              <w:rPr>
                <w:rFonts w:cs="Times New Roman"/>
                <w:b/>
              </w:rPr>
              <w:t>（2）地表水环境</w:t>
            </w:r>
          </w:p>
          <w:p>
            <w:pPr>
              <w:spacing w:line="360" w:lineRule="auto"/>
              <w:ind w:firstLine="480" w:firstLineChars="200"/>
              <w:rPr>
                <w:rFonts w:cs="Times New Roman"/>
                <w:color w:val="000000"/>
              </w:rPr>
            </w:pPr>
            <w:r>
              <w:rPr>
                <w:rFonts w:cs="Times New Roman"/>
              </w:rPr>
              <w:t>项目地表水环境敏感程度依据事故情况下危险物质泄漏</w:t>
            </w:r>
            <w:r>
              <w:rPr>
                <w:rFonts w:cs="Times New Roman"/>
                <w:color w:val="000000"/>
              </w:rPr>
              <w:t>到水体的排放点收纳地表水体功能敏感性，与下游环境敏感目标情况确定。</w:t>
            </w:r>
          </w:p>
          <w:p>
            <w:pPr>
              <w:spacing w:line="360" w:lineRule="auto"/>
              <w:ind w:firstLine="480" w:firstLineChars="200"/>
              <w:rPr>
                <w:rFonts w:cs="Times New Roman"/>
                <w:color w:val="000000"/>
              </w:rPr>
            </w:pPr>
            <w:r>
              <w:rPr>
                <w:rFonts w:cs="Times New Roman"/>
                <w:color w:val="000000"/>
              </w:rPr>
              <w:t>①地表水功能敏感性分区</w:t>
            </w:r>
          </w:p>
          <w:p>
            <w:pPr>
              <w:pStyle w:val="31"/>
              <w:adjustRightInd w:val="0"/>
              <w:spacing w:after="0" w:line="360" w:lineRule="auto"/>
              <w:ind w:firstLine="480" w:firstLineChars="200"/>
              <w:rPr>
                <w:rFonts w:cs="Times New Roman"/>
              </w:rPr>
            </w:pPr>
            <w:r>
              <w:rPr>
                <w:rFonts w:cs="Times New Roman"/>
              </w:rPr>
              <w:t>地表水环境功能敏感性分区见下表所示。</w:t>
            </w:r>
          </w:p>
          <w:p>
            <w:pPr>
              <w:pStyle w:val="31"/>
              <w:adjustRightInd w:val="0"/>
              <w:spacing w:after="0"/>
              <w:ind w:firstLine="422" w:firstLineChars="200"/>
              <w:jc w:val="center"/>
              <w:rPr>
                <w:rFonts w:cs="Times New Roman"/>
                <w:b/>
                <w:sz w:val="21"/>
              </w:rPr>
            </w:pPr>
            <w:r>
              <w:rPr>
                <w:rFonts w:cs="Times New Roman"/>
                <w:b/>
                <w:sz w:val="21"/>
              </w:rPr>
              <w:t>表7.2-</w:t>
            </w:r>
            <w:r>
              <w:rPr>
                <w:rFonts w:hint="eastAsia" w:cs="Times New Roman"/>
                <w:b/>
                <w:sz w:val="21"/>
              </w:rPr>
              <w:t>32</w:t>
            </w:r>
            <w:r>
              <w:rPr>
                <w:rFonts w:cs="Times New Roman"/>
                <w:b/>
                <w:sz w:val="21"/>
              </w:rPr>
              <w:t xml:space="preserve">  地表水功能敏感性分区</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4"/>
              <w:gridCol w:w="7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472" w:type="pct"/>
                  <w:vAlign w:val="center"/>
                </w:tcPr>
                <w:p>
                  <w:pPr>
                    <w:autoSpaceDE w:val="0"/>
                    <w:autoSpaceDN w:val="0"/>
                    <w:jc w:val="center"/>
                    <w:rPr>
                      <w:rFonts w:cs="Times New Roman"/>
                      <w:color w:val="000000"/>
                      <w:sz w:val="21"/>
                    </w:rPr>
                  </w:pPr>
                  <w:r>
                    <w:rPr>
                      <w:rFonts w:cs="Times New Roman"/>
                      <w:color w:val="000000"/>
                      <w:sz w:val="21"/>
                    </w:rPr>
                    <w:t>敏感性</w:t>
                  </w:r>
                </w:p>
              </w:tc>
              <w:tc>
                <w:tcPr>
                  <w:tcW w:w="4527" w:type="pct"/>
                  <w:vAlign w:val="center"/>
                </w:tcPr>
                <w:p>
                  <w:pPr>
                    <w:autoSpaceDE w:val="0"/>
                    <w:autoSpaceDN w:val="0"/>
                    <w:jc w:val="center"/>
                    <w:rPr>
                      <w:rFonts w:cs="Times New Roman"/>
                      <w:color w:val="000000"/>
                      <w:sz w:val="21"/>
                    </w:rPr>
                  </w:pPr>
                  <w:r>
                    <w:rPr>
                      <w:rFonts w:cs="Times New Roman"/>
                      <w:color w:val="000000"/>
                      <w:sz w:val="21"/>
                    </w:rPr>
                    <w:t>地表水环境敏感特征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472" w:type="pct"/>
                  <w:vAlign w:val="center"/>
                </w:tcPr>
                <w:p>
                  <w:pPr>
                    <w:autoSpaceDE w:val="0"/>
                    <w:autoSpaceDN w:val="0"/>
                    <w:jc w:val="center"/>
                    <w:rPr>
                      <w:rFonts w:cs="Times New Roman"/>
                      <w:color w:val="000000"/>
                      <w:sz w:val="21"/>
                    </w:rPr>
                  </w:pPr>
                  <w:r>
                    <w:rPr>
                      <w:rFonts w:cs="Times New Roman"/>
                      <w:color w:val="000000"/>
                      <w:sz w:val="21"/>
                    </w:rPr>
                    <w:t>敏感</w:t>
                  </w:r>
                </w:p>
                <w:p>
                  <w:pPr>
                    <w:autoSpaceDE w:val="0"/>
                    <w:autoSpaceDN w:val="0"/>
                    <w:jc w:val="center"/>
                    <w:rPr>
                      <w:rFonts w:cs="Times New Roman"/>
                      <w:color w:val="000000"/>
                      <w:sz w:val="21"/>
                    </w:rPr>
                  </w:pPr>
                  <w:r>
                    <w:rPr>
                      <w:rFonts w:cs="Times New Roman"/>
                      <w:color w:val="000000"/>
                      <w:sz w:val="21"/>
                    </w:rPr>
                    <w:t>F1</w:t>
                  </w:r>
                </w:p>
              </w:tc>
              <w:tc>
                <w:tcPr>
                  <w:tcW w:w="4527" w:type="pct"/>
                  <w:vAlign w:val="center"/>
                </w:tcPr>
                <w:p>
                  <w:pPr>
                    <w:autoSpaceDE w:val="0"/>
                    <w:autoSpaceDN w:val="0"/>
                    <w:jc w:val="center"/>
                    <w:rPr>
                      <w:rFonts w:cs="Times New Roman"/>
                      <w:color w:val="000000"/>
                      <w:sz w:val="21"/>
                    </w:rPr>
                  </w:pPr>
                  <w:r>
                    <w:rPr>
                      <w:rFonts w:cs="Times New Roman"/>
                      <w:color w:val="000000"/>
                      <w:sz w:val="21"/>
                    </w:rPr>
                    <w:t>排放点进入地表水水域环境功能为Ⅱ类及以上，或海水水质分类第一类；或以发生事故时，危险物质泄漏到水体的排放点算起，排放进入受纳河流最大流速时，24h 流经范围内涉跨国界的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472" w:type="pct"/>
                  <w:vAlign w:val="center"/>
                </w:tcPr>
                <w:p>
                  <w:pPr>
                    <w:autoSpaceDE w:val="0"/>
                    <w:autoSpaceDN w:val="0"/>
                    <w:jc w:val="center"/>
                    <w:rPr>
                      <w:rFonts w:cs="Times New Roman"/>
                      <w:color w:val="000000"/>
                      <w:sz w:val="21"/>
                    </w:rPr>
                  </w:pPr>
                  <w:r>
                    <w:rPr>
                      <w:rFonts w:cs="Times New Roman"/>
                      <w:color w:val="000000"/>
                      <w:sz w:val="21"/>
                    </w:rPr>
                    <w:t>较敏感</w:t>
                  </w:r>
                </w:p>
                <w:p>
                  <w:pPr>
                    <w:autoSpaceDE w:val="0"/>
                    <w:autoSpaceDN w:val="0"/>
                    <w:jc w:val="center"/>
                    <w:rPr>
                      <w:rFonts w:cs="Times New Roman"/>
                      <w:color w:val="000000"/>
                      <w:sz w:val="21"/>
                    </w:rPr>
                  </w:pPr>
                  <w:r>
                    <w:rPr>
                      <w:rFonts w:cs="Times New Roman"/>
                      <w:color w:val="000000"/>
                      <w:sz w:val="21"/>
                    </w:rPr>
                    <w:t>F2</w:t>
                  </w:r>
                </w:p>
              </w:tc>
              <w:tc>
                <w:tcPr>
                  <w:tcW w:w="4527" w:type="pct"/>
                  <w:vAlign w:val="center"/>
                </w:tcPr>
                <w:p>
                  <w:pPr>
                    <w:autoSpaceDE w:val="0"/>
                    <w:autoSpaceDN w:val="0"/>
                    <w:jc w:val="center"/>
                    <w:rPr>
                      <w:rFonts w:cs="Times New Roman"/>
                      <w:color w:val="000000"/>
                      <w:sz w:val="21"/>
                    </w:rPr>
                  </w:pPr>
                  <w:r>
                    <w:rPr>
                      <w:rFonts w:cs="Times New Roman"/>
                      <w:color w:val="000000"/>
                      <w:sz w:val="21"/>
                    </w:rPr>
                    <w:t>排放点进入地表水水域环境功能为Ⅲ类，或海水水质分类第二类；或以发生事故时，危险物质泄漏到水体的排放点算起，排放进入受纳河流最大流速时，24h 流经范围内涉跨省界的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472" w:type="pct"/>
                  <w:vAlign w:val="center"/>
                </w:tcPr>
                <w:p>
                  <w:pPr>
                    <w:autoSpaceDE w:val="0"/>
                    <w:autoSpaceDN w:val="0"/>
                    <w:jc w:val="center"/>
                    <w:rPr>
                      <w:rFonts w:cs="Times New Roman"/>
                      <w:color w:val="000000"/>
                      <w:sz w:val="21"/>
                    </w:rPr>
                  </w:pPr>
                  <w:r>
                    <w:rPr>
                      <w:rFonts w:cs="Times New Roman"/>
                      <w:color w:val="000000"/>
                      <w:sz w:val="21"/>
                    </w:rPr>
                    <w:t>低敏感 F3</w:t>
                  </w:r>
                </w:p>
              </w:tc>
              <w:tc>
                <w:tcPr>
                  <w:tcW w:w="4527" w:type="pct"/>
                  <w:vAlign w:val="center"/>
                </w:tcPr>
                <w:p>
                  <w:pPr>
                    <w:autoSpaceDE w:val="0"/>
                    <w:autoSpaceDN w:val="0"/>
                    <w:jc w:val="center"/>
                    <w:rPr>
                      <w:rFonts w:cs="Times New Roman"/>
                      <w:color w:val="000000"/>
                      <w:sz w:val="21"/>
                    </w:rPr>
                  </w:pPr>
                  <w:r>
                    <w:rPr>
                      <w:rFonts w:cs="Times New Roman"/>
                      <w:color w:val="000000"/>
                      <w:sz w:val="21"/>
                    </w:rPr>
                    <w:t>上述地区之外的其他地区</w:t>
                  </w:r>
                </w:p>
              </w:tc>
            </w:tr>
          </w:tbl>
          <w:p>
            <w:pPr>
              <w:spacing w:line="360" w:lineRule="auto"/>
              <w:ind w:firstLine="480" w:firstLineChars="200"/>
              <w:rPr>
                <w:rFonts w:cs="Times New Roman"/>
              </w:rPr>
            </w:pPr>
            <w:r>
              <w:rPr>
                <w:rFonts w:cs="Times New Roman"/>
              </w:rPr>
              <w:t>②环境敏感目标分级</w:t>
            </w:r>
          </w:p>
          <w:p>
            <w:pPr>
              <w:spacing w:line="360" w:lineRule="auto"/>
              <w:ind w:firstLine="480" w:firstLineChars="200"/>
              <w:rPr>
                <w:rFonts w:cs="Times New Roman"/>
              </w:rPr>
            </w:pPr>
            <w:r>
              <w:rPr>
                <w:rFonts w:cs="Times New Roman"/>
              </w:rPr>
              <w:t>地表水环境敏感目标分级见下表。</w:t>
            </w:r>
          </w:p>
          <w:p>
            <w:pPr>
              <w:pStyle w:val="31"/>
              <w:adjustRightInd w:val="0"/>
              <w:spacing w:after="0"/>
              <w:ind w:firstLine="422" w:firstLineChars="200"/>
              <w:jc w:val="center"/>
              <w:rPr>
                <w:rFonts w:cs="Times New Roman"/>
                <w:b/>
                <w:sz w:val="21"/>
              </w:rPr>
            </w:pPr>
          </w:p>
          <w:p>
            <w:pPr>
              <w:pStyle w:val="31"/>
              <w:adjustRightInd w:val="0"/>
              <w:spacing w:after="0"/>
              <w:ind w:firstLine="422" w:firstLineChars="200"/>
              <w:jc w:val="center"/>
              <w:rPr>
                <w:rFonts w:cs="Times New Roman"/>
                <w:b/>
                <w:sz w:val="21"/>
              </w:rPr>
            </w:pPr>
            <w:r>
              <w:rPr>
                <w:rFonts w:cs="Times New Roman"/>
                <w:b/>
                <w:sz w:val="21"/>
              </w:rPr>
              <w:t>表7.2-3</w:t>
            </w:r>
            <w:r>
              <w:rPr>
                <w:rFonts w:hint="eastAsia" w:cs="Times New Roman"/>
                <w:b/>
                <w:sz w:val="21"/>
              </w:rPr>
              <w:t>3</w:t>
            </w:r>
            <w:r>
              <w:rPr>
                <w:rFonts w:cs="Times New Roman"/>
                <w:b/>
                <w:sz w:val="21"/>
              </w:rPr>
              <w:t xml:space="preserve">  地表水环境敏感目标分级</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7"/>
              <w:gridCol w:w="7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396" w:type="pct"/>
                  <w:vAlign w:val="center"/>
                </w:tcPr>
                <w:p>
                  <w:pPr>
                    <w:autoSpaceDE w:val="0"/>
                    <w:autoSpaceDN w:val="0"/>
                    <w:jc w:val="center"/>
                    <w:rPr>
                      <w:rFonts w:cs="Times New Roman"/>
                      <w:color w:val="000000"/>
                      <w:sz w:val="21"/>
                    </w:rPr>
                  </w:pPr>
                  <w:r>
                    <w:rPr>
                      <w:rFonts w:cs="Times New Roman"/>
                      <w:color w:val="000000"/>
                      <w:sz w:val="21"/>
                    </w:rPr>
                    <w:t>分级</w:t>
                  </w:r>
                </w:p>
              </w:tc>
              <w:tc>
                <w:tcPr>
                  <w:tcW w:w="4603" w:type="pct"/>
                </w:tcPr>
                <w:p>
                  <w:pPr>
                    <w:autoSpaceDE w:val="0"/>
                    <w:autoSpaceDN w:val="0"/>
                    <w:jc w:val="center"/>
                    <w:rPr>
                      <w:rFonts w:cs="Times New Roman"/>
                      <w:color w:val="000000"/>
                      <w:sz w:val="21"/>
                    </w:rPr>
                  </w:pPr>
                  <w:r>
                    <w:rPr>
                      <w:rFonts w:cs="Times New Roman"/>
                      <w:color w:val="000000"/>
                      <w:sz w:val="21"/>
                    </w:rPr>
                    <w:t>环境敏感目标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396" w:type="pct"/>
                  <w:vAlign w:val="center"/>
                </w:tcPr>
                <w:p>
                  <w:pPr>
                    <w:autoSpaceDE w:val="0"/>
                    <w:autoSpaceDN w:val="0"/>
                    <w:jc w:val="center"/>
                    <w:rPr>
                      <w:rFonts w:cs="Times New Roman"/>
                      <w:color w:val="000000"/>
                      <w:sz w:val="21"/>
                    </w:rPr>
                  </w:pPr>
                  <w:r>
                    <w:rPr>
                      <w:rFonts w:cs="Times New Roman"/>
                      <w:color w:val="000000"/>
                      <w:sz w:val="21"/>
                    </w:rPr>
                    <w:t>S1</w:t>
                  </w:r>
                </w:p>
              </w:tc>
              <w:tc>
                <w:tcPr>
                  <w:tcW w:w="4603" w:type="pct"/>
                </w:tcPr>
                <w:p>
                  <w:pPr>
                    <w:autoSpaceDE w:val="0"/>
                    <w:autoSpaceDN w:val="0"/>
                    <w:jc w:val="center"/>
                    <w:rPr>
                      <w:rFonts w:cs="Times New Roman"/>
                      <w:color w:val="000000"/>
                      <w:sz w:val="21"/>
                    </w:rPr>
                  </w:pPr>
                  <w:r>
                    <w:rPr>
                      <w:rFonts w:cs="Times New Roman"/>
                      <w:color w:val="000000"/>
                      <w:sz w:val="21"/>
                    </w:rPr>
                    <w:t>发生事故时，危险物质泄漏到内陆水体的排放点下游（顺水流向）10 km 范围内、近岸海域一个潮周期水质点可能达到的最大水平距离的两倍范围内，有如下一类或多类环境风险受体：集中式地表水饮用水水源保护区（包括一级保护区、二级保护区及准保护区）；农村及分散式饮用水水源保护区； 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396" w:type="pct"/>
                  <w:vAlign w:val="center"/>
                </w:tcPr>
                <w:p>
                  <w:pPr>
                    <w:autoSpaceDE w:val="0"/>
                    <w:autoSpaceDN w:val="0"/>
                    <w:jc w:val="center"/>
                    <w:rPr>
                      <w:rFonts w:cs="Times New Roman"/>
                      <w:color w:val="000000"/>
                      <w:sz w:val="21"/>
                    </w:rPr>
                  </w:pPr>
                  <w:r>
                    <w:rPr>
                      <w:rFonts w:cs="Times New Roman"/>
                      <w:color w:val="000000"/>
                      <w:sz w:val="21"/>
                    </w:rPr>
                    <w:t>S2</w:t>
                  </w:r>
                </w:p>
              </w:tc>
              <w:tc>
                <w:tcPr>
                  <w:tcW w:w="4603" w:type="pct"/>
                </w:tcPr>
                <w:p>
                  <w:pPr>
                    <w:autoSpaceDE w:val="0"/>
                    <w:autoSpaceDN w:val="0"/>
                    <w:jc w:val="center"/>
                    <w:rPr>
                      <w:rFonts w:cs="Times New Roman"/>
                      <w:color w:val="000000"/>
                      <w:sz w:val="21"/>
                    </w:rPr>
                  </w:pPr>
                  <w:r>
                    <w:rPr>
                      <w:rFonts w:cs="Times New Roman"/>
                      <w:color w:val="000000"/>
                      <w:sz w:val="21"/>
                    </w:rPr>
                    <w:t>发生事故时，危险物质泄漏到内陆水体的排放点下游（顺水流向）10 km 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96" w:type="pct"/>
                  <w:vAlign w:val="center"/>
                </w:tcPr>
                <w:p>
                  <w:pPr>
                    <w:autoSpaceDE w:val="0"/>
                    <w:autoSpaceDN w:val="0"/>
                    <w:jc w:val="center"/>
                    <w:rPr>
                      <w:rFonts w:cs="Times New Roman"/>
                      <w:color w:val="000000"/>
                      <w:sz w:val="21"/>
                    </w:rPr>
                  </w:pPr>
                  <w:r>
                    <w:rPr>
                      <w:rFonts w:cs="Times New Roman"/>
                      <w:color w:val="000000"/>
                      <w:sz w:val="21"/>
                    </w:rPr>
                    <w:t>S3</w:t>
                  </w:r>
                </w:p>
              </w:tc>
              <w:tc>
                <w:tcPr>
                  <w:tcW w:w="4603" w:type="pct"/>
                </w:tcPr>
                <w:p>
                  <w:pPr>
                    <w:autoSpaceDE w:val="0"/>
                    <w:autoSpaceDN w:val="0"/>
                    <w:jc w:val="center"/>
                    <w:rPr>
                      <w:rFonts w:cs="Times New Roman"/>
                      <w:color w:val="000000"/>
                      <w:sz w:val="21"/>
                    </w:rPr>
                  </w:pPr>
                  <w:r>
                    <w:rPr>
                      <w:rFonts w:cs="Times New Roman"/>
                      <w:color w:val="000000"/>
                      <w:sz w:val="21"/>
                    </w:rPr>
                    <w:t>排放点下游（顺水流向）10 km 范围、近岸海域一个潮周期水质点可能达到的最大水平距离的两倍范围内无上述类型 1 和类型 2 包括的敏感保护目标</w:t>
                  </w:r>
                </w:p>
              </w:tc>
            </w:tr>
          </w:tbl>
          <w:p>
            <w:pPr>
              <w:adjustRightInd w:val="0"/>
              <w:snapToGrid w:val="0"/>
              <w:spacing w:line="360" w:lineRule="auto"/>
              <w:ind w:firstLine="480" w:firstLineChars="200"/>
              <w:rPr>
                <w:rFonts w:cs="Times New Roman"/>
                <w:color w:val="000000"/>
                <w:spacing w:val="6"/>
              </w:rPr>
            </w:pPr>
            <w:r>
              <w:rPr>
                <w:rFonts w:cs="Times New Roman"/>
              </w:rPr>
              <w:t>③</w:t>
            </w:r>
            <w:r>
              <w:rPr>
                <w:rFonts w:cs="Times New Roman"/>
                <w:color w:val="000000"/>
                <w:spacing w:val="6"/>
              </w:rPr>
              <w:t>地表水环境敏感程度依据事故情况下危险物质泄漏到水体的排放点受纳地表水体功能敏感性，与下游环境敏感目标情况确定。具体分级原则具体见下表所示。</w:t>
            </w:r>
          </w:p>
          <w:p>
            <w:pPr>
              <w:pStyle w:val="31"/>
              <w:adjustRightInd w:val="0"/>
              <w:spacing w:after="0"/>
              <w:ind w:firstLine="422" w:firstLineChars="200"/>
              <w:jc w:val="center"/>
              <w:rPr>
                <w:rFonts w:cs="Times New Roman"/>
                <w:b/>
                <w:sz w:val="21"/>
              </w:rPr>
            </w:pPr>
            <w:r>
              <w:rPr>
                <w:rFonts w:cs="Times New Roman"/>
                <w:b/>
                <w:sz w:val="21"/>
              </w:rPr>
              <w:t>表7.2-3</w:t>
            </w:r>
            <w:r>
              <w:rPr>
                <w:rFonts w:hint="eastAsia" w:cs="Times New Roman"/>
                <w:b/>
                <w:sz w:val="21"/>
              </w:rPr>
              <w:t>4</w:t>
            </w:r>
            <w:r>
              <w:rPr>
                <w:rFonts w:cs="Times New Roman"/>
                <w:b/>
                <w:sz w:val="21"/>
              </w:rPr>
              <w:t xml:space="preserve">  </w:t>
            </w:r>
            <w:r>
              <w:rPr>
                <w:rFonts w:cs="Times New Roman"/>
                <w:b/>
                <w:color w:val="000000"/>
                <w:sz w:val="21"/>
              </w:rPr>
              <w:t>地表水环境敏感程度分级</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62"/>
              <w:gridCol w:w="1866"/>
              <w:gridCol w:w="2051"/>
              <w:gridCol w:w="1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83" w:type="pct"/>
                  <w:vMerge w:val="restar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环境敏感目标</w:t>
                  </w:r>
                </w:p>
              </w:tc>
              <w:tc>
                <w:tcPr>
                  <w:tcW w:w="3517" w:type="pct"/>
                  <w:gridSpan w:val="3"/>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地表水功能敏感性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83" w:type="pct"/>
                  <w:vMerge w:val="continue"/>
                  <w:vAlign w:val="center"/>
                </w:tcPr>
                <w:p>
                  <w:pPr>
                    <w:jc w:val="center"/>
                    <w:rPr>
                      <w:rFonts w:cs="Times New Roman"/>
                      <w:color w:val="000000"/>
                      <w:sz w:val="21"/>
                    </w:rPr>
                  </w:pPr>
                </w:p>
              </w:tc>
              <w:tc>
                <w:tcPr>
                  <w:tcW w:w="112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F1</w:t>
                  </w:r>
                </w:p>
              </w:tc>
              <w:tc>
                <w:tcPr>
                  <w:tcW w:w="1235"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F2</w:t>
                  </w:r>
                </w:p>
              </w:tc>
              <w:tc>
                <w:tcPr>
                  <w:tcW w:w="1158"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F3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83"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S1</w:t>
                  </w:r>
                </w:p>
              </w:tc>
              <w:tc>
                <w:tcPr>
                  <w:tcW w:w="112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E1</w:t>
                  </w:r>
                </w:p>
              </w:tc>
              <w:tc>
                <w:tcPr>
                  <w:tcW w:w="1235"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E1</w:t>
                  </w:r>
                </w:p>
              </w:tc>
              <w:tc>
                <w:tcPr>
                  <w:tcW w:w="1158" w:type="pct"/>
                  <w:shd w:val="clear" w:color="auto" w:fill="FFFFFF" w:themeFill="background1"/>
                  <w:vAlign w:val="center"/>
                </w:tcPr>
                <w:p>
                  <w:pPr>
                    <w:pStyle w:val="139"/>
                    <w:jc w:val="center"/>
                    <w:rPr>
                      <w:rFonts w:ascii="Times New Roman" w:hAnsi="Times New Roman" w:cs="Times New Roman" w:eastAsiaTheme="minorEastAsia"/>
                      <w:b/>
                      <w:bCs/>
                      <w:color w:val="000000"/>
                      <w:sz w:val="21"/>
                      <w:szCs w:val="21"/>
                    </w:rPr>
                  </w:pPr>
                  <w:r>
                    <w:rPr>
                      <w:rFonts w:ascii="Times New Roman" w:hAnsi="Times New Roman" w:cs="Times New Roman" w:eastAsiaTheme="minorEastAsia"/>
                      <w:color w:val="000000"/>
                      <w:sz w:val="21"/>
                      <w:szCs w:val="21"/>
                    </w:rPr>
                    <w:t>E2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83"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S2</w:t>
                  </w:r>
                </w:p>
              </w:tc>
              <w:tc>
                <w:tcPr>
                  <w:tcW w:w="112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E1</w:t>
                  </w:r>
                </w:p>
              </w:tc>
              <w:tc>
                <w:tcPr>
                  <w:tcW w:w="1235"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E2</w:t>
                  </w:r>
                </w:p>
              </w:tc>
              <w:tc>
                <w:tcPr>
                  <w:tcW w:w="1158"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83"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S3</w:t>
                  </w:r>
                </w:p>
              </w:tc>
              <w:tc>
                <w:tcPr>
                  <w:tcW w:w="1124"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E1</w:t>
                  </w:r>
                </w:p>
              </w:tc>
              <w:tc>
                <w:tcPr>
                  <w:tcW w:w="1235"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E2</w:t>
                  </w:r>
                </w:p>
              </w:tc>
              <w:tc>
                <w:tcPr>
                  <w:tcW w:w="1158" w:type="pct"/>
                  <w:vAlign w:val="center"/>
                </w:tcPr>
                <w:p>
                  <w:pPr>
                    <w:pStyle w:val="139"/>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E3</w:t>
                  </w:r>
                </w:p>
              </w:tc>
            </w:tr>
          </w:tbl>
          <w:p>
            <w:pPr>
              <w:pStyle w:val="31"/>
              <w:adjustRightInd w:val="0"/>
              <w:spacing w:after="0" w:line="360" w:lineRule="auto"/>
              <w:ind w:firstLine="480" w:firstLineChars="200"/>
              <w:rPr>
                <w:rFonts w:cs="Times New Roman"/>
                <w:szCs w:val="24"/>
              </w:rPr>
            </w:pPr>
            <w:r>
              <w:rPr>
                <w:rFonts w:cs="Times New Roman"/>
                <w:szCs w:val="24"/>
              </w:rPr>
              <w:t>本项目生产废水经过沉淀</w:t>
            </w:r>
            <w:r>
              <w:rPr>
                <w:rFonts w:hint="eastAsia" w:cs="Times New Roman"/>
                <w:szCs w:val="24"/>
              </w:rPr>
              <w:t>池</w:t>
            </w:r>
            <w:r>
              <w:rPr>
                <w:rFonts w:cs="Times New Roman"/>
                <w:szCs w:val="24"/>
              </w:rPr>
              <w:t>沉淀后再回用，生活废水经化粪池处理后排入</w:t>
            </w:r>
            <w:r>
              <w:rPr>
                <w:rFonts w:cs="Times New Roman"/>
                <w:bCs/>
                <w:szCs w:val="24"/>
              </w:rPr>
              <w:t>湖南城陵矶临港产业新区污水处理厂处理，项目属于三级B间接排放项目，不直接外排地表水体，不对地表水环境进行相应的敏感程度分级。</w:t>
            </w:r>
          </w:p>
          <w:p>
            <w:pPr>
              <w:pStyle w:val="31"/>
              <w:adjustRightInd w:val="0"/>
              <w:spacing w:after="0" w:line="360" w:lineRule="auto"/>
              <w:ind w:firstLine="480" w:firstLineChars="200"/>
              <w:rPr>
                <w:rFonts w:cs="Times New Roman"/>
                <w:b/>
              </w:rPr>
            </w:pPr>
            <w:r>
              <w:rPr>
                <w:rFonts w:cs="Times New Roman"/>
              </w:rPr>
              <w:t>③地下水环境</w:t>
            </w:r>
          </w:p>
          <w:p>
            <w:pPr>
              <w:pStyle w:val="31"/>
              <w:adjustRightInd w:val="0"/>
              <w:spacing w:after="0" w:line="360" w:lineRule="auto"/>
              <w:ind w:firstLine="480" w:firstLineChars="200"/>
              <w:rPr>
                <w:rFonts w:cs="Times New Roman"/>
              </w:rPr>
            </w:pPr>
            <w:r>
              <w:rPr>
                <w:rFonts w:cs="Times New Roman"/>
              </w:rPr>
              <w:t>地下水环境敏感程度依据地下水功能敏感性与包气带防污性能确定，分级原则见下表所示。</w:t>
            </w:r>
          </w:p>
          <w:p>
            <w:pPr>
              <w:pStyle w:val="31"/>
              <w:adjustRightInd w:val="0"/>
              <w:spacing w:after="0"/>
              <w:ind w:firstLine="422" w:firstLineChars="200"/>
              <w:jc w:val="center"/>
              <w:rPr>
                <w:rFonts w:cs="Times New Roman"/>
                <w:b/>
                <w:sz w:val="21"/>
              </w:rPr>
            </w:pPr>
            <w:r>
              <w:rPr>
                <w:rFonts w:cs="Times New Roman"/>
                <w:b/>
                <w:sz w:val="21"/>
              </w:rPr>
              <w:t>表7.2-3</w:t>
            </w:r>
            <w:r>
              <w:rPr>
                <w:rFonts w:hint="eastAsia" w:cs="Times New Roman"/>
                <w:b/>
                <w:sz w:val="21"/>
              </w:rPr>
              <w:t>5</w:t>
            </w:r>
            <w:r>
              <w:rPr>
                <w:rFonts w:cs="Times New Roman"/>
                <w:b/>
                <w:sz w:val="21"/>
              </w:rPr>
              <w:t xml:space="preserve">  地下水环境敏感程度分级</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63"/>
              <w:gridCol w:w="1488"/>
              <w:gridCol w:w="2074"/>
              <w:gridCol w:w="2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04" w:type="pct"/>
                  <w:vMerge w:val="restar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包气带防污性能</w:t>
                  </w:r>
                </w:p>
              </w:tc>
              <w:tc>
                <w:tcPr>
                  <w:tcW w:w="3396" w:type="pct"/>
                  <w:gridSpan w:val="3"/>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地下水功能敏感性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04" w:type="pct"/>
                  <w:vMerge w:val="continue"/>
                  <w:vAlign w:val="center"/>
                </w:tcPr>
                <w:p>
                  <w:pPr>
                    <w:kinsoku w:val="0"/>
                    <w:overflowPunct w:val="0"/>
                    <w:autoSpaceDE w:val="0"/>
                    <w:autoSpaceDN w:val="0"/>
                    <w:adjustRightInd w:val="0"/>
                    <w:snapToGrid w:val="0"/>
                    <w:jc w:val="center"/>
                    <w:rPr>
                      <w:rFonts w:cs="Times New Roman"/>
                      <w:color w:val="000000"/>
                      <w:sz w:val="21"/>
                    </w:rPr>
                  </w:pPr>
                </w:p>
              </w:tc>
              <w:tc>
                <w:tcPr>
                  <w:tcW w:w="896"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G1</w:t>
                  </w:r>
                </w:p>
              </w:tc>
              <w:tc>
                <w:tcPr>
                  <w:tcW w:w="124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G2</w:t>
                  </w:r>
                </w:p>
              </w:tc>
              <w:tc>
                <w:tcPr>
                  <w:tcW w:w="1251"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G3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04"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D1</w:t>
                  </w:r>
                </w:p>
              </w:tc>
              <w:tc>
                <w:tcPr>
                  <w:tcW w:w="896"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E1</w:t>
                  </w:r>
                </w:p>
              </w:tc>
              <w:tc>
                <w:tcPr>
                  <w:tcW w:w="124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E1</w:t>
                  </w:r>
                </w:p>
              </w:tc>
              <w:tc>
                <w:tcPr>
                  <w:tcW w:w="1251" w:type="pct"/>
                  <w:shd w:val="clear" w:color="auto" w:fill="FFFFFF" w:themeFill="background1"/>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04"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D2</w:t>
                  </w:r>
                </w:p>
              </w:tc>
              <w:tc>
                <w:tcPr>
                  <w:tcW w:w="896"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E1</w:t>
                  </w:r>
                </w:p>
              </w:tc>
              <w:tc>
                <w:tcPr>
                  <w:tcW w:w="124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E2</w:t>
                  </w:r>
                </w:p>
              </w:tc>
              <w:tc>
                <w:tcPr>
                  <w:tcW w:w="1251"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04"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D3</w:t>
                  </w:r>
                </w:p>
              </w:tc>
              <w:tc>
                <w:tcPr>
                  <w:tcW w:w="896"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E2</w:t>
                  </w:r>
                </w:p>
              </w:tc>
              <w:tc>
                <w:tcPr>
                  <w:tcW w:w="124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E3</w:t>
                  </w:r>
                </w:p>
              </w:tc>
              <w:tc>
                <w:tcPr>
                  <w:tcW w:w="1251"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E3</w:t>
                  </w:r>
                </w:p>
              </w:tc>
            </w:tr>
          </w:tbl>
          <w:p>
            <w:pPr>
              <w:pStyle w:val="31"/>
              <w:adjustRightInd w:val="0"/>
              <w:snapToGrid w:val="0"/>
              <w:spacing w:after="0" w:line="360" w:lineRule="auto"/>
              <w:ind w:firstLine="480" w:firstLineChars="200"/>
              <w:rPr>
                <w:rFonts w:cs="Times New Roman"/>
                <w:color w:val="000000"/>
              </w:rPr>
            </w:pPr>
            <w:r>
              <w:rPr>
                <w:rFonts w:cs="Times New Roman"/>
                <w:color w:val="000000"/>
              </w:rPr>
              <w:t>根据项目区地勘资料，项目区包气带岩土层单层厚度约为4m，渗透系数约为5.79×10</w:t>
            </w:r>
            <w:r>
              <w:rPr>
                <w:rFonts w:cs="Times New Roman"/>
                <w:color w:val="000000"/>
                <w:vertAlign w:val="superscript"/>
              </w:rPr>
              <w:t>-4</w:t>
            </w:r>
            <w:r>
              <w:rPr>
                <w:rFonts w:cs="Times New Roman"/>
                <w:color w:val="000000"/>
              </w:rPr>
              <w:t>cm/s，根据风险导则表D.7，项目区包气带防护性能分级为D1，项目区地下水不属于集中式饮用水源等敏感区和分散式饮用水源等较敏感区，地下水功能敏感程度为不敏感G3。因此，本项目地下水环境敏感程度为E3。</w:t>
            </w:r>
          </w:p>
          <w:p>
            <w:pPr>
              <w:pStyle w:val="31"/>
              <w:adjustRightInd w:val="0"/>
              <w:snapToGrid w:val="0"/>
              <w:spacing w:after="0" w:line="360" w:lineRule="auto"/>
              <w:ind w:firstLine="480" w:firstLineChars="200"/>
              <w:rPr>
                <w:rFonts w:cs="Times New Roman"/>
                <w:color w:val="000000"/>
              </w:rPr>
            </w:pPr>
            <w:r>
              <w:rPr>
                <w:rFonts w:cs="Times New Roman"/>
                <w:color w:val="000000"/>
              </w:rPr>
              <w:t>3、本项目各环境要素敏感程度（E）的分级</w:t>
            </w:r>
          </w:p>
          <w:p>
            <w:pPr>
              <w:kinsoku w:val="0"/>
              <w:overflowPunct w:val="0"/>
              <w:autoSpaceDE w:val="0"/>
              <w:autoSpaceDN w:val="0"/>
              <w:adjustRightInd w:val="0"/>
              <w:snapToGrid w:val="0"/>
              <w:spacing w:line="360" w:lineRule="auto"/>
              <w:ind w:firstLine="480" w:firstLineChars="200"/>
              <w:rPr>
                <w:rFonts w:cs="Times New Roman"/>
                <w:color w:val="000000"/>
              </w:rPr>
            </w:pPr>
            <w:r>
              <w:rPr>
                <w:rFonts w:cs="Times New Roman"/>
                <w:color w:val="000000"/>
              </w:rPr>
              <w:t>根据建设项目涉及的物质和工艺系统的危险性及其所在地的环境敏感程度，结合事故情形下环境影响途径，对建设项目潜在环境危害程度进行概化分析，按照下表确定环境风险潜势。</w:t>
            </w:r>
          </w:p>
          <w:p>
            <w:pPr>
              <w:pStyle w:val="31"/>
              <w:adjustRightInd w:val="0"/>
              <w:spacing w:after="0"/>
              <w:ind w:firstLine="422" w:firstLineChars="200"/>
              <w:jc w:val="center"/>
              <w:rPr>
                <w:rFonts w:cs="Times New Roman"/>
                <w:b/>
                <w:sz w:val="21"/>
              </w:rPr>
            </w:pPr>
            <w:r>
              <w:rPr>
                <w:rFonts w:cs="Times New Roman"/>
                <w:b/>
                <w:sz w:val="21"/>
              </w:rPr>
              <w:t>表7.2-3</w:t>
            </w:r>
            <w:r>
              <w:rPr>
                <w:rFonts w:hint="eastAsia" w:cs="Times New Roman"/>
                <w:b/>
                <w:sz w:val="21"/>
              </w:rPr>
              <w:t>6</w:t>
            </w:r>
            <w:r>
              <w:rPr>
                <w:rFonts w:cs="Times New Roman"/>
                <w:b/>
                <w:sz w:val="21"/>
              </w:rPr>
              <w:t xml:space="preserve">  建设项目环境风险潜势划分</w:t>
            </w:r>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60"/>
              <w:gridCol w:w="1596"/>
              <w:gridCol w:w="1543"/>
              <w:gridCol w:w="1556"/>
              <w:gridCol w:w="1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241" w:type="pct"/>
                  <w:vMerge w:val="restar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环境敏感程度（E）</w:t>
                  </w:r>
                </w:p>
              </w:tc>
              <w:tc>
                <w:tcPr>
                  <w:tcW w:w="3758" w:type="pct"/>
                  <w:gridSpan w:val="4"/>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危险物质及工艺系统危险性（P）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1241" w:type="pct"/>
                  <w:vMerge w:val="continue"/>
                  <w:vAlign w:val="center"/>
                </w:tcPr>
                <w:p>
                  <w:pPr>
                    <w:kinsoku w:val="0"/>
                    <w:overflowPunct w:val="0"/>
                    <w:autoSpaceDE w:val="0"/>
                    <w:autoSpaceDN w:val="0"/>
                    <w:adjustRightInd w:val="0"/>
                    <w:snapToGrid w:val="0"/>
                    <w:jc w:val="center"/>
                    <w:rPr>
                      <w:rFonts w:cs="Times New Roman"/>
                      <w:color w:val="000000"/>
                      <w:sz w:val="21"/>
                    </w:rPr>
                  </w:pPr>
                </w:p>
              </w:tc>
              <w:tc>
                <w:tcPr>
                  <w:tcW w:w="961"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极高危害（P1）</w:t>
                  </w:r>
                </w:p>
              </w:tc>
              <w:tc>
                <w:tcPr>
                  <w:tcW w:w="92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高度危害（P2）</w:t>
                  </w:r>
                </w:p>
              </w:tc>
              <w:tc>
                <w:tcPr>
                  <w:tcW w:w="937"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中度危害（P3）</w:t>
                  </w:r>
                </w:p>
              </w:tc>
              <w:tc>
                <w:tcPr>
                  <w:tcW w:w="92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轻度危害（P4）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241"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环境高度敏感区（E1）</w:t>
                  </w:r>
                </w:p>
              </w:tc>
              <w:tc>
                <w:tcPr>
                  <w:tcW w:w="961" w:type="pct"/>
                  <w:shd w:val="clear" w:color="auto" w:fill="auto"/>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Ⅳ</w:t>
                  </w:r>
                  <w:r>
                    <w:rPr>
                      <w:rFonts w:ascii="Times New Roman" w:hAnsi="Times New Roman" w:cs="Times New Roman" w:eastAsiaTheme="minorEastAsia"/>
                      <w:color w:val="000000"/>
                      <w:sz w:val="21"/>
                      <w:szCs w:val="21"/>
                      <w:vertAlign w:val="superscript"/>
                    </w:rPr>
                    <w:t>+</w:t>
                  </w:r>
                </w:p>
              </w:tc>
              <w:tc>
                <w:tcPr>
                  <w:tcW w:w="92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Ⅳ</w:t>
                  </w:r>
                </w:p>
              </w:tc>
              <w:tc>
                <w:tcPr>
                  <w:tcW w:w="937" w:type="pct"/>
                  <w:vAlign w:val="center"/>
                </w:tcPr>
                <w:p>
                  <w:pPr>
                    <w:pStyle w:val="139"/>
                    <w:kinsoku w:val="0"/>
                    <w:overflowPunct w:val="0"/>
                    <w:adjustRightInd w:val="0"/>
                    <w:snapToGrid w:val="0"/>
                    <w:jc w:val="center"/>
                    <w:rPr>
                      <w:rFonts w:ascii="Times New Roman" w:hAnsi="Times New Roman" w:cs="Times New Roman" w:eastAsiaTheme="minorEastAsia"/>
                      <w:b/>
                      <w:bCs/>
                      <w:color w:val="000000"/>
                      <w:sz w:val="21"/>
                      <w:szCs w:val="21"/>
                    </w:rPr>
                  </w:pPr>
                  <w:r>
                    <w:rPr>
                      <w:rFonts w:ascii="Times New Roman" w:hAnsi="Times New Roman" w:cs="Times New Roman" w:eastAsiaTheme="minorEastAsia"/>
                      <w:color w:val="000000"/>
                      <w:sz w:val="21"/>
                      <w:szCs w:val="21"/>
                    </w:rPr>
                    <w:t>Ⅲ</w:t>
                  </w:r>
                </w:p>
              </w:tc>
              <w:tc>
                <w:tcPr>
                  <w:tcW w:w="92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241"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环境中度敏感区（E2）</w:t>
                  </w:r>
                </w:p>
              </w:tc>
              <w:tc>
                <w:tcPr>
                  <w:tcW w:w="961" w:type="pct"/>
                  <w:shd w:val="clear" w:color="auto" w:fill="auto"/>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Ⅳ</w:t>
                  </w:r>
                </w:p>
              </w:tc>
              <w:tc>
                <w:tcPr>
                  <w:tcW w:w="92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Ⅲ</w:t>
                  </w:r>
                </w:p>
              </w:tc>
              <w:tc>
                <w:tcPr>
                  <w:tcW w:w="937"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Ⅲ</w:t>
                  </w:r>
                </w:p>
              </w:tc>
              <w:tc>
                <w:tcPr>
                  <w:tcW w:w="92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241"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环境低度敏感区（E3）</w:t>
                  </w:r>
                </w:p>
              </w:tc>
              <w:tc>
                <w:tcPr>
                  <w:tcW w:w="961"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Ⅲ</w:t>
                  </w:r>
                </w:p>
              </w:tc>
              <w:tc>
                <w:tcPr>
                  <w:tcW w:w="92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Ⅲ</w:t>
                  </w:r>
                </w:p>
              </w:tc>
              <w:tc>
                <w:tcPr>
                  <w:tcW w:w="937"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Ⅱ</w:t>
                  </w:r>
                </w:p>
              </w:tc>
              <w:tc>
                <w:tcPr>
                  <w:tcW w:w="929" w:type="pct"/>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000" w:type="pct"/>
                  <w:gridSpan w:val="5"/>
                  <w:vAlign w:val="center"/>
                </w:tcPr>
                <w:p>
                  <w:pPr>
                    <w:pStyle w:val="139"/>
                    <w:kinsoku w:val="0"/>
                    <w:overflowPunct w:val="0"/>
                    <w:adjustRightInd w:val="0"/>
                    <w:snapToGrid w:val="0"/>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注：Ⅳ</w:t>
                  </w:r>
                  <w:r>
                    <w:rPr>
                      <w:rFonts w:ascii="Times New Roman" w:hAnsi="Times New Roman" w:cs="Times New Roman" w:eastAsiaTheme="minorEastAsia"/>
                      <w:color w:val="000000"/>
                      <w:sz w:val="21"/>
                      <w:szCs w:val="21"/>
                      <w:vertAlign w:val="superscript"/>
                    </w:rPr>
                    <w:t>+</w:t>
                  </w:r>
                  <w:r>
                    <w:rPr>
                      <w:rFonts w:ascii="Times New Roman" w:hAnsi="Times New Roman" w:cs="Times New Roman" w:eastAsiaTheme="minorEastAsia"/>
                      <w:color w:val="000000"/>
                      <w:sz w:val="21"/>
                      <w:szCs w:val="21"/>
                    </w:rPr>
                    <w:t>为极高环境风险。</w:t>
                  </w:r>
                </w:p>
              </w:tc>
            </w:tr>
          </w:tbl>
          <w:p>
            <w:pPr>
              <w:kinsoku w:val="0"/>
              <w:overflowPunct w:val="0"/>
              <w:autoSpaceDE w:val="0"/>
              <w:autoSpaceDN w:val="0"/>
              <w:adjustRightInd w:val="0"/>
              <w:snapToGrid w:val="0"/>
              <w:spacing w:line="360" w:lineRule="auto"/>
              <w:ind w:firstLine="480" w:firstLineChars="200"/>
              <w:rPr>
                <w:rFonts w:cs="Times New Roman"/>
                <w:color w:val="000000"/>
              </w:rPr>
            </w:pPr>
            <w:r>
              <w:rPr>
                <w:rFonts w:cs="Times New Roman"/>
                <w:color w:val="000000"/>
              </w:rPr>
              <w:t>本项目各环境要素的环境敏感程度为：大气为E3，地下水为E3，项目的P等级为P3，根据风险导则表2，本项目的大气风险潜势为Ⅰ级，地表水项目属于三级B间接排放项目，废水排入湖南城陵矶临港产业新区污水处理厂处理不直接外排地表水体，不对地表水环境进行相应的敏感程度分级。地下水的风险潜势均为Ⅰ级，项目环境风险潜势综合等级为Ⅰ级，对应的环境风险评价等级为简单分析</w:t>
            </w:r>
          </w:p>
          <w:p>
            <w:pPr>
              <w:pStyle w:val="31"/>
              <w:adjustRightInd w:val="0"/>
              <w:spacing w:after="0"/>
              <w:ind w:firstLine="422" w:firstLineChars="200"/>
              <w:jc w:val="center"/>
              <w:rPr>
                <w:rFonts w:cs="Times New Roman"/>
                <w:b/>
                <w:sz w:val="21"/>
              </w:rPr>
            </w:pPr>
            <w:r>
              <w:rPr>
                <w:rFonts w:cs="Times New Roman"/>
                <w:b/>
                <w:sz w:val="21"/>
              </w:rPr>
              <w:t>表7.2-3</w:t>
            </w:r>
            <w:r>
              <w:rPr>
                <w:rFonts w:hint="eastAsia" w:cs="Times New Roman"/>
                <w:b/>
                <w:sz w:val="21"/>
              </w:rPr>
              <w:t>7</w:t>
            </w:r>
            <w:r>
              <w:rPr>
                <w:rFonts w:cs="Times New Roman"/>
                <w:b/>
                <w:sz w:val="21"/>
              </w:rPr>
              <w:t xml:space="preserve">  </w:t>
            </w:r>
            <w:r>
              <w:rPr>
                <w:rFonts w:cs="Times New Roman"/>
                <w:b/>
                <w:color w:val="000000"/>
                <w:sz w:val="21"/>
              </w:rPr>
              <w:t>项目环境风险评价工作等级划分</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5"/>
              <w:gridCol w:w="1690"/>
              <w:gridCol w:w="1689"/>
              <w:gridCol w:w="1689"/>
              <w:gridCol w:w="1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931" w:type="pct"/>
                  <w:vAlign w:val="center"/>
                </w:tcPr>
                <w:p>
                  <w:pPr>
                    <w:jc w:val="center"/>
                    <w:rPr>
                      <w:rFonts w:cs="Times New Roman"/>
                      <w:color w:val="000000"/>
                      <w:sz w:val="21"/>
                    </w:rPr>
                  </w:pPr>
                  <w:r>
                    <w:rPr>
                      <w:rFonts w:cs="Times New Roman"/>
                      <w:color w:val="000000"/>
                      <w:sz w:val="21"/>
                    </w:rPr>
                    <w:t>环境风险潜势</w:t>
                  </w:r>
                </w:p>
              </w:tc>
              <w:tc>
                <w:tcPr>
                  <w:tcW w:w="1018" w:type="pct"/>
                  <w:vAlign w:val="center"/>
                </w:tcPr>
                <w:p>
                  <w:pPr>
                    <w:jc w:val="center"/>
                    <w:rPr>
                      <w:rFonts w:cs="Times New Roman"/>
                      <w:color w:val="000000"/>
                      <w:sz w:val="21"/>
                    </w:rPr>
                  </w:pPr>
                  <w:r>
                    <w:rPr>
                      <w:rFonts w:cs="Times New Roman"/>
                      <w:color w:val="000000"/>
                      <w:sz w:val="21"/>
                    </w:rPr>
                    <w:t>Ⅳ、Ⅳ</w:t>
                  </w:r>
                  <w:r>
                    <w:rPr>
                      <w:rFonts w:cs="Times New Roman"/>
                      <w:color w:val="000000"/>
                      <w:sz w:val="21"/>
                      <w:vertAlign w:val="superscript"/>
                    </w:rPr>
                    <w:t>+</w:t>
                  </w:r>
                </w:p>
              </w:tc>
              <w:tc>
                <w:tcPr>
                  <w:tcW w:w="1017" w:type="pct"/>
                  <w:vAlign w:val="center"/>
                </w:tcPr>
                <w:p>
                  <w:pPr>
                    <w:jc w:val="center"/>
                    <w:rPr>
                      <w:rFonts w:cs="Times New Roman"/>
                      <w:color w:val="000000"/>
                      <w:sz w:val="21"/>
                    </w:rPr>
                  </w:pPr>
                  <w:r>
                    <w:rPr>
                      <w:rFonts w:cs="Times New Roman"/>
                      <w:color w:val="000000"/>
                      <w:sz w:val="21"/>
                    </w:rPr>
                    <w:t>Ⅲ</w:t>
                  </w:r>
                </w:p>
              </w:tc>
              <w:tc>
                <w:tcPr>
                  <w:tcW w:w="1017" w:type="pct"/>
                  <w:vAlign w:val="center"/>
                </w:tcPr>
                <w:p>
                  <w:pPr>
                    <w:jc w:val="center"/>
                    <w:rPr>
                      <w:rFonts w:cs="Times New Roman"/>
                      <w:color w:val="000000"/>
                      <w:sz w:val="21"/>
                    </w:rPr>
                  </w:pPr>
                  <w:r>
                    <w:rPr>
                      <w:rFonts w:cs="Times New Roman"/>
                      <w:color w:val="000000"/>
                      <w:sz w:val="21"/>
                    </w:rPr>
                    <w:t>Ⅱ</w:t>
                  </w:r>
                </w:p>
              </w:tc>
              <w:tc>
                <w:tcPr>
                  <w:tcW w:w="1017" w:type="pct"/>
                  <w:vAlign w:val="center"/>
                </w:tcPr>
                <w:p>
                  <w:pPr>
                    <w:jc w:val="center"/>
                    <w:rPr>
                      <w:rFonts w:cs="Times New Roman"/>
                      <w:color w:val="000000"/>
                      <w:sz w:val="21"/>
                    </w:rPr>
                  </w:pPr>
                  <w:r>
                    <w:rPr>
                      <w:rFonts w:cs="Times New Roman"/>
                      <w:color w:val="000000"/>
                      <w:sz w:val="21"/>
                    </w:rPr>
                    <w:t>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1" w:type="pct"/>
                  <w:vAlign w:val="center"/>
                </w:tcPr>
                <w:p>
                  <w:pPr>
                    <w:jc w:val="center"/>
                    <w:rPr>
                      <w:rFonts w:cs="Times New Roman"/>
                      <w:color w:val="000000"/>
                      <w:sz w:val="21"/>
                    </w:rPr>
                  </w:pPr>
                  <w:r>
                    <w:rPr>
                      <w:rFonts w:cs="Times New Roman"/>
                      <w:color w:val="000000"/>
                      <w:sz w:val="21"/>
                    </w:rPr>
                    <w:t>评价工作等级</w:t>
                  </w:r>
                </w:p>
              </w:tc>
              <w:tc>
                <w:tcPr>
                  <w:tcW w:w="1018" w:type="pct"/>
                  <w:shd w:val="clear" w:color="auto" w:fill="FFFFFF" w:themeFill="background1"/>
                  <w:vAlign w:val="center"/>
                </w:tcPr>
                <w:p>
                  <w:pPr>
                    <w:jc w:val="center"/>
                    <w:rPr>
                      <w:rFonts w:cs="Times New Roman"/>
                      <w:color w:val="000000"/>
                      <w:sz w:val="21"/>
                    </w:rPr>
                  </w:pPr>
                  <w:r>
                    <w:rPr>
                      <w:rFonts w:cs="Times New Roman"/>
                      <w:color w:val="000000"/>
                      <w:sz w:val="21"/>
                    </w:rPr>
                    <w:t>一</w:t>
                  </w:r>
                </w:p>
              </w:tc>
              <w:tc>
                <w:tcPr>
                  <w:tcW w:w="1017" w:type="pct"/>
                  <w:vAlign w:val="center"/>
                </w:tcPr>
                <w:p>
                  <w:pPr>
                    <w:jc w:val="center"/>
                    <w:rPr>
                      <w:rFonts w:cs="Times New Roman"/>
                      <w:color w:val="000000"/>
                      <w:sz w:val="21"/>
                    </w:rPr>
                  </w:pPr>
                  <w:r>
                    <w:rPr>
                      <w:rFonts w:cs="Times New Roman"/>
                      <w:color w:val="000000"/>
                      <w:sz w:val="21"/>
                    </w:rPr>
                    <w:t>二</w:t>
                  </w:r>
                </w:p>
              </w:tc>
              <w:tc>
                <w:tcPr>
                  <w:tcW w:w="1017" w:type="pct"/>
                  <w:vAlign w:val="center"/>
                </w:tcPr>
                <w:p>
                  <w:pPr>
                    <w:jc w:val="center"/>
                    <w:rPr>
                      <w:rFonts w:cs="Times New Roman"/>
                      <w:color w:val="000000"/>
                      <w:sz w:val="21"/>
                    </w:rPr>
                  </w:pPr>
                  <w:r>
                    <w:rPr>
                      <w:rFonts w:cs="Times New Roman"/>
                      <w:color w:val="000000"/>
                      <w:sz w:val="21"/>
                    </w:rPr>
                    <w:t>三</w:t>
                  </w:r>
                </w:p>
              </w:tc>
              <w:tc>
                <w:tcPr>
                  <w:tcW w:w="1017" w:type="pct"/>
                  <w:vAlign w:val="center"/>
                </w:tcPr>
                <w:p>
                  <w:pPr>
                    <w:jc w:val="center"/>
                    <w:rPr>
                      <w:rFonts w:cs="Times New Roman"/>
                      <w:color w:val="000000"/>
                      <w:sz w:val="21"/>
                    </w:rPr>
                  </w:pPr>
                  <w:r>
                    <w:rPr>
                      <w:rFonts w:cs="Times New Roman"/>
                      <w:color w:val="000000"/>
                      <w:sz w:val="21"/>
                    </w:rPr>
                    <w:t>简单分析</w:t>
                  </w:r>
                  <w:r>
                    <w:rPr>
                      <w:rFonts w:cs="Times New Roman"/>
                      <w:color w:val="000000"/>
                      <w:sz w:val="21"/>
                      <w:vertAlign w:val="superscript"/>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5"/>
                  <w:vAlign w:val="center"/>
                </w:tcPr>
                <w:p>
                  <w:pPr>
                    <w:rPr>
                      <w:rFonts w:cs="Times New Roman"/>
                      <w:color w:val="000000"/>
                      <w:sz w:val="21"/>
                    </w:rPr>
                  </w:pPr>
                  <w:r>
                    <w:rPr>
                      <w:rFonts w:cs="Times New Roman"/>
                      <w:color w:val="000000"/>
                      <w:sz w:val="21"/>
                    </w:rPr>
                    <w:t>a是相对于详细评价工作内容而言，在描述危险物质、环境影响途径、环境危害后果、风险防范措施等方面给出定性的说明。</w:t>
                  </w:r>
                </w:p>
              </w:tc>
            </w:tr>
          </w:tbl>
          <w:p>
            <w:pPr>
              <w:pStyle w:val="8"/>
            </w:pPr>
            <w:r>
              <w:t>环境风险识别</w:t>
            </w:r>
          </w:p>
          <w:p>
            <w:pPr>
              <w:pStyle w:val="32"/>
              <w:adjustRightInd w:val="0"/>
              <w:snapToGrid w:val="0"/>
              <w:spacing w:after="0" w:line="360" w:lineRule="auto"/>
              <w:ind w:left="0" w:leftChars="0" w:firstLine="480"/>
              <w:rPr>
                <w:rFonts w:cs="Times New Roman"/>
              </w:rPr>
            </w:pPr>
            <w:r>
              <w:rPr>
                <w:rFonts w:cs="Times New Roman"/>
              </w:rPr>
              <w:t>对该公司生产装置、储运系统、公用设施、环保设施等环境风险识别汇总见下表所示。</w:t>
            </w:r>
          </w:p>
          <w:p>
            <w:pPr>
              <w:jc w:val="center"/>
              <w:rPr>
                <w:rFonts w:cs="Times New Roman"/>
                <w:b/>
                <w:sz w:val="21"/>
              </w:rPr>
            </w:pPr>
            <w:r>
              <w:rPr>
                <w:rFonts w:cs="Times New Roman"/>
                <w:b/>
                <w:sz w:val="21"/>
              </w:rPr>
              <w:t>表7.2-3</w:t>
            </w:r>
            <w:r>
              <w:rPr>
                <w:rFonts w:hint="eastAsia" w:cs="Times New Roman"/>
                <w:b/>
                <w:sz w:val="21"/>
              </w:rPr>
              <w:t>8</w:t>
            </w:r>
            <w:r>
              <w:rPr>
                <w:rFonts w:cs="Times New Roman"/>
                <w:b/>
                <w:sz w:val="21"/>
              </w:rPr>
              <w:t xml:space="preserve">  建设项目环境风险识别表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028"/>
              <w:gridCol w:w="1028"/>
              <w:gridCol w:w="1028"/>
              <w:gridCol w:w="1028"/>
              <w:gridCol w:w="1106"/>
              <w:gridCol w:w="1029"/>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tabs>
                      <w:tab w:val="center" w:pos="4152"/>
                      <w:tab w:val="right" w:pos="8730"/>
                    </w:tabs>
                    <w:adjustRightInd w:val="0"/>
                    <w:snapToGrid w:val="0"/>
                    <w:jc w:val="center"/>
                    <w:rPr>
                      <w:rFonts w:cs="Times New Roman"/>
                      <w:sz w:val="21"/>
                    </w:rPr>
                  </w:pPr>
                  <w:r>
                    <w:rPr>
                      <w:rFonts w:cs="Times New Roman"/>
                      <w:sz w:val="21"/>
                    </w:rPr>
                    <w:t>序号</w:t>
                  </w:r>
                </w:p>
              </w:tc>
              <w:tc>
                <w:tcPr>
                  <w:tcW w:w="619" w:type="pct"/>
                  <w:vAlign w:val="center"/>
                </w:tcPr>
                <w:p>
                  <w:pPr>
                    <w:tabs>
                      <w:tab w:val="center" w:pos="4152"/>
                      <w:tab w:val="right" w:pos="8730"/>
                    </w:tabs>
                    <w:adjustRightInd w:val="0"/>
                    <w:snapToGrid w:val="0"/>
                    <w:jc w:val="center"/>
                    <w:rPr>
                      <w:rFonts w:cs="Times New Roman"/>
                      <w:sz w:val="21"/>
                    </w:rPr>
                  </w:pPr>
                  <w:r>
                    <w:rPr>
                      <w:rFonts w:cs="Times New Roman"/>
                      <w:sz w:val="21"/>
                    </w:rPr>
                    <w:t>危险单元</w:t>
                  </w:r>
                </w:p>
              </w:tc>
              <w:tc>
                <w:tcPr>
                  <w:tcW w:w="619" w:type="pct"/>
                  <w:vAlign w:val="center"/>
                </w:tcPr>
                <w:p>
                  <w:pPr>
                    <w:tabs>
                      <w:tab w:val="center" w:pos="4152"/>
                      <w:tab w:val="right" w:pos="8730"/>
                    </w:tabs>
                    <w:adjustRightInd w:val="0"/>
                    <w:snapToGrid w:val="0"/>
                    <w:jc w:val="center"/>
                    <w:rPr>
                      <w:rFonts w:cs="Times New Roman"/>
                      <w:sz w:val="21"/>
                    </w:rPr>
                  </w:pPr>
                  <w:r>
                    <w:rPr>
                      <w:rFonts w:cs="Times New Roman"/>
                      <w:sz w:val="21"/>
                    </w:rPr>
                    <w:t>风险源</w:t>
                  </w:r>
                </w:p>
              </w:tc>
              <w:tc>
                <w:tcPr>
                  <w:tcW w:w="619" w:type="pct"/>
                  <w:vAlign w:val="center"/>
                </w:tcPr>
                <w:p>
                  <w:pPr>
                    <w:tabs>
                      <w:tab w:val="center" w:pos="4152"/>
                      <w:tab w:val="right" w:pos="8730"/>
                    </w:tabs>
                    <w:adjustRightInd w:val="0"/>
                    <w:snapToGrid w:val="0"/>
                    <w:jc w:val="center"/>
                    <w:rPr>
                      <w:rFonts w:cs="Times New Roman"/>
                      <w:sz w:val="21"/>
                    </w:rPr>
                  </w:pPr>
                  <w:r>
                    <w:rPr>
                      <w:rFonts w:cs="Times New Roman"/>
                      <w:sz w:val="21"/>
                    </w:rPr>
                    <w:t>主要危险物质</w:t>
                  </w:r>
                </w:p>
              </w:tc>
              <w:tc>
                <w:tcPr>
                  <w:tcW w:w="619" w:type="pct"/>
                  <w:vAlign w:val="center"/>
                </w:tcPr>
                <w:p>
                  <w:pPr>
                    <w:tabs>
                      <w:tab w:val="center" w:pos="4152"/>
                      <w:tab w:val="right" w:pos="8730"/>
                    </w:tabs>
                    <w:adjustRightInd w:val="0"/>
                    <w:snapToGrid w:val="0"/>
                    <w:jc w:val="center"/>
                    <w:rPr>
                      <w:rFonts w:cs="Times New Roman"/>
                      <w:sz w:val="21"/>
                    </w:rPr>
                  </w:pPr>
                  <w:r>
                    <w:rPr>
                      <w:rFonts w:cs="Times New Roman"/>
                      <w:sz w:val="21"/>
                    </w:rPr>
                    <w:t>环境风险类型</w:t>
                  </w:r>
                </w:p>
              </w:tc>
              <w:tc>
                <w:tcPr>
                  <w:tcW w:w="666" w:type="pct"/>
                  <w:vAlign w:val="center"/>
                </w:tcPr>
                <w:p>
                  <w:pPr>
                    <w:tabs>
                      <w:tab w:val="center" w:pos="4152"/>
                      <w:tab w:val="right" w:pos="8730"/>
                    </w:tabs>
                    <w:adjustRightInd w:val="0"/>
                    <w:snapToGrid w:val="0"/>
                    <w:jc w:val="center"/>
                    <w:rPr>
                      <w:rFonts w:cs="Times New Roman"/>
                      <w:sz w:val="21"/>
                    </w:rPr>
                  </w:pPr>
                  <w:r>
                    <w:rPr>
                      <w:rFonts w:cs="Times New Roman"/>
                      <w:sz w:val="21"/>
                    </w:rPr>
                    <w:t>环境影响途径</w:t>
                  </w:r>
                </w:p>
              </w:tc>
              <w:tc>
                <w:tcPr>
                  <w:tcW w:w="620" w:type="pct"/>
                  <w:vAlign w:val="center"/>
                </w:tcPr>
                <w:p>
                  <w:pPr>
                    <w:tabs>
                      <w:tab w:val="center" w:pos="4152"/>
                      <w:tab w:val="right" w:pos="8730"/>
                    </w:tabs>
                    <w:adjustRightInd w:val="0"/>
                    <w:snapToGrid w:val="0"/>
                    <w:jc w:val="center"/>
                    <w:rPr>
                      <w:rFonts w:cs="Times New Roman"/>
                      <w:sz w:val="21"/>
                    </w:rPr>
                  </w:pPr>
                  <w:r>
                    <w:rPr>
                      <w:rFonts w:cs="Times New Roman"/>
                      <w:sz w:val="21"/>
                    </w:rPr>
                    <w:t>可能受影响的环境敏感目标</w:t>
                  </w:r>
                </w:p>
              </w:tc>
              <w:tc>
                <w:tcPr>
                  <w:tcW w:w="620" w:type="pct"/>
                  <w:vAlign w:val="center"/>
                </w:tcPr>
                <w:p>
                  <w:pPr>
                    <w:tabs>
                      <w:tab w:val="center" w:pos="4152"/>
                      <w:tab w:val="right" w:pos="8730"/>
                    </w:tabs>
                    <w:adjustRightInd w:val="0"/>
                    <w:snapToGrid w:val="0"/>
                    <w:jc w:val="center"/>
                    <w:rPr>
                      <w:rFonts w:cs="Times New Roman"/>
                      <w:sz w:val="21"/>
                    </w:rPr>
                  </w:pPr>
                  <w:r>
                    <w:rPr>
                      <w:rFonts w:cs="Times New Roman"/>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pct"/>
                  <w:vAlign w:val="center"/>
                </w:tcPr>
                <w:p>
                  <w:pPr>
                    <w:adjustRightInd w:val="0"/>
                    <w:snapToGrid w:val="0"/>
                    <w:jc w:val="center"/>
                    <w:rPr>
                      <w:rFonts w:cs="Times New Roman"/>
                      <w:sz w:val="21"/>
                    </w:rPr>
                  </w:pPr>
                  <w:r>
                    <w:rPr>
                      <w:rFonts w:cs="Times New Roman"/>
                      <w:sz w:val="21"/>
                    </w:rPr>
                    <w:t>1</w:t>
                  </w:r>
                </w:p>
              </w:tc>
              <w:tc>
                <w:tcPr>
                  <w:tcW w:w="619" w:type="pct"/>
                  <w:vAlign w:val="center"/>
                </w:tcPr>
                <w:p>
                  <w:pPr>
                    <w:adjustRightInd w:val="0"/>
                    <w:snapToGrid w:val="0"/>
                    <w:jc w:val="center"/>
                    <w:rPr>
                      <w:rFonts w:cs="Times New Roman"/>
                      <w:sz w:val="21"/>
                    </w:rPr>
                  </w:pPr>
                  <w:r>
                    <w:rPr>
                      <w:rFonts w:cs="Times New Roman"/>
                      <w:sz w:val="21"/>
                    </w:rPr>
                    <w:t>整个厂区</w:t>
                  </w:r>
                </w:p>
              </w:tc>
              <w:tc>
                <w:tcPr>
                  <w:tcW w:w="619" w:type="pct"/>
                  <w:vAlign w:val="center"/>
                </w:tcPr>
                <w:p>
                  <w:pPr>
                    <w:adjustRightInd w:val="0"/>
                    <w:snapToGrid w:val="0"/>
                    <w:jc w:val="center"/>
                    <w:rPr>
                      <w:rFonts w:cs="Times New Roman"/>
                      <w:sz w:val="21"/>
                    </w:rPr>
                  </w:pPr>
                  <w:r>
                    <w:rPr>
                      <w:rFonts w:cs="Times New Roman"/>
                      <w:sz w:val="21"/>
                    </w:rPr>
                    <w:t>/</w:t>
                  </w:r>
                </w:p>
              </w:tc>
              <w:tc>
                <w:tcPr>
                  <w:tcW w:w="619" w:type="pct"/>
                  <w:vAlign w:val="center"/>
                </w:tcPr>
                <w:p>
                  <w:pPr>
                    <w:adjustRightInd w:val="0"/>
                    <w:snapToGrid w:val="0"/>
                    <w:jc w:val="center"/>
                    <w:rPr>
                      <w:rFonts w:cs="Times New Roman"/>
                      <w:sz w:val="21"/>
                    </w:rPr>
                  </w:pPr>
                  <w:r>
                    <w:rPr>
                      <w:rFonts w:cs="Times New Roman"/>
                      <w:sz w:val="21"/>
                    </w:rPr>
                    <w:t>易燃物质</w:t>
                  </w:r>
                </w:p>
              </w:tc>
              <w:tc>
                <w:tcPr>
                  <w:tcW w:w="619" w:type="pct"/>
                  <w:vAlign w:val="center"/>
                </w:tcPr>
                <w:p>
                  <w:pPr>
                    <w:adjustRightInd w:val="0"/>
                    <w:snapToGrid w:val="0"/>
                    <w:jc w:val="center"/>
                    <w:rPr>
                      <w:rFonts w:cs="Times New Roman"/>
                      <w:sz w:val="21"/>
                    </w:rPr>
                  </w:pPr>
                  <w:r>
                    <w:rPr>
                      <w:rFonts w:cs="Times New Roman"/>
                      <w:sz w:val="21"/>
                    </w:rPr>
                    <w:t>火灾等引起的次生污染物排放</w:t>
                  </w:r>
                </w:p>
              </w:tc>
              <w:tc>
                <w:tcPr>
                  <w:tcW w:w="666" w:type="pct"/>
                  <w:vAlign w:val="center"/>
                </w:tcPr>
                <w:p>
                  <w:pPr>
                    <w:adjustRightInd w:val="0"/>
                    <w:snapToGrid w:val="0"/>
                    <w:jc w:val="center"/>
                    <w:rPr>
                      <w:rFonts w:cs="Times New Roman"/>
                      <w:sz w:val="21"/>
                    </w:rPr>
                  </w:pPr>
                  <w:r>
                    <w:rPr>
                      <w:rFonts w:cs="Times New Roman"/>
                      <w:sz w:val="21"/>
                    </w:rPr>
                    <w:t>大气、地表水、地下水、土壤</w:t>
                  </w:r>
                </w:p>
              </w:tc>
              <w:tc>
                <w:tcPr>
                  <w:tcW w:w="620" w:type="pct"/>
                  <w:vAlign w:val="center"/>
                </w:tcPr>
                <w:p>
                  <w:pPr>
                    <w:adjustRightInd w:val="0"/>
                    <w:snapToGrid w:val="0"/>
                    <w:jc w:val="center"/>
                    <w:rPr>
                      <w:rFonts w:cs="Times New Roman"/>
                      <w:sz w:val="21"/>
                    </w:rPr>
                  </w:pPr>
                  <w:r>
                    <w:rPr>
                      <w:rFonts w:cs="Times New Roman"/>
                      <w:sz w:val="21"/>
                    </w:rPr>
                    <w:t>周围居民</w:t>
                  </w:r>
                </w:p>
              </w:tc>
              <w:tc>
                <w:tcPr>
                  <w:tcW w:w="620" w:type="pct"/>
                  <w:vAlign w:val="center"/>
                </w:tcPr>
                <w:p>
                  <w:pPr>
                    <w:adjustRightInd w:val="0"/>
                    <w:snapToGrid w:val="0"/>
                    <w:jc w:val="center"/>
                    <w:rPr>
                      <w:rFonts w:cs="Times New Roman"/>
                      <w:sz w:val="21"/>
                    </w:rPr>
                  </w:pPr>
                  <w:r>
                    <w:rPr>
                      <w:rFonts w:cs="Times New Roman"/>
                      <w:sz w:val="21"/>
                    </w:rPr>
                    <w:t>/</w:t>
                  </w:r>
                </w:p>
              </w:tc>
            </w:tr>
          </w:tbl>
          <w:p>
            <w:pPr>
              <w:pStyle w:val="8"/>
            </w:pPr>
            <w:r>
              <w:t>环境风险分析</w:t>
            </w:r>
          </w:p>
          <w:p>
            <w:pPr>
              <w:adjustRightInd w:val="0"/>
              <w:snapToGrid w:val="0"/>
              <w:spacing w:line="360" w:lineRule="auto"/>
              <w:ind w:firstLine="480" w:firstLineChars="200"/>
              <w:rPr>
                <w:rFonts w:cs="Times New Roman"/>
                <w:bCs/>
              </w:rPr>
            </w:pPr>
            <w:r>
              <w:rPr>
                <w:rFonts w:cs="Times New Roman"/>
                <w:bCs/>
              </w:rPr>
              <w:t>①火灾爆炸事故次生风险</w:t>
            </w:r>
          </w:p>
          <w:p>
            <w:pPr>
              <w:adjustRightInd w:val="0"/>
              <w:snapToGrid w:val="0"/>
              <w:spacing w:line="360" w:lineRule="auto"/>
              <w:ind w:firstLine="480" w:firstLineChars="200"/>
              <w:rPr>
                <w:rFonts w:cs="Times New Roman"/>
                <w:bCs/>
              </w:rPr>
            </w:pPr>
            <w:r>
              <w:rPr>
                <w:rFonts w:cs="Times New Roman"/>
                <w:bCs/>
              </w:rPr>
              <w:t>本公司所有工序中有可能引发火灾、爆炸次生环境风险的地方为生产区等的泄露，可能造成火灾爆炸事故。燃烧产生烟尘、CO、SO</w:t>
            </w:r>
            <w:r>
              <w:rPr>
                <w:rFonts w:cs="Times New Roman"/>
                <w:bCs/>
                <w:vertAlign w:val="subscript"/>
              </w:rPr>
              <w:t>2</w:t>
            </w:r>
            <w:r>
              <w:rPr>
                <w:rFonts w:cs="Times New Roman"/>
                <w:bCs/>
              </w:rPr>
              <w:t>、NO</w:t>
            </w:r>
            <w:r>
              <w:rPr>
                <w:rFonts w:cs="Times New Roman"/>
                <w:bCs/>
                <w:vertAlign w:val="subscript"/>
              </w:rPr>
              <w:t>2</w:t>
            </w:r>
            <w:r>
              <w:rPr>
                <w:rFonts w:cs="Times New Roman"/>
                <w:bCs/>
              </w:rPr>
              <w:t>等废气会对公司周围的空气质量带来一定影响。</w:t>
            </w:r>
          </w:p>
          <w:p>
            <w:pPr>
              <w:adjustRightInd w:val="0"/>
              <w:snapToGrid w:val="0"/>
              <w:spacing w:line="360" w:lineRule="auto"/>
              <w:ind w:firstLine="480" w:firstLineChars="200"/>
              <w:rPr>
                <w:rFonts w:cs="Times New Roman"/>
                <w:bCs/>
              </w:rPr>
            </w:pPr>
            <w:r>
              <w:rPr>
                <w:rFonts w:cs="Times New Roman"/>
                <w:bCs/>
              </w:rPr>
              <w:t>消防废水：在火灾的扑灭过程中将会产生大量的消防废水。根据现场踏勘的情况，如果发生火灾，消防灭火产生的大量消防废水有可能随地面的雨水管道流入北侧的无名池塘，消防废水中含有大量的有毒有害物质，对外环境水体环境造成不可逆转的污染，企业应在厂区设置应急事故池，将消防废水拦截，减少对外环境水体造成不可逆的污染。</w:t>
            </w:r>
          </w:p>
          <w:p>
            <w:pPr>
              <w:tabs>
                <w:tab w:val="center" w:pos="4152"/>
                <w:tab w:val="right" w:pos="8730"/>
              </w:tabs>
              <w:adjustRightInd w:val="0"/>
              <w:snapToGrid w:val="0"/>
              <w:spacing w:line="360" w:lineRule="auto"/>
              <w:ind w:firstLine="480" w:firstLineChars="200"/>
              <w:rPr>
                <w:rFonts w:cs="Times New Roman"/>
                <w:b/>
                <w:bCs/>
              </w:rPr>
            </w:pPr>
            <w:r>
              <w:rPr>
                <w:rFonts w:cs="Times New Roman"/>
                <w:bCs/>
              </w:rPr>
              <w:t>消防废气：发生火灾后产生消防废气，会对本公司周围的空气质量和居民带来一定影响，但经干粉灭火处理后可在短时间内灭火消除污染物的继续排放，加上污染物排放总数量不多、空气的稀释作用快，所以对周围空气质量和居民影响时间不长、影响程度不深。</w:t>
            </w:r>
          </w:p>
          <w:p>
            <w:pPr>
              <w:spacing w:line="360" w:lineRule="auto"/>
              <w:ind w:firstLine="480" w:firstLineChars="200"/>
              <w:rPr>
                <w:rFonts w:cs="Times New Roman"/>
              </w:rPr>
            </w:pPr>
            <w:r>
              <w:rPr>
                <w:rFonts w:cs="Times New Roman"/>
                <w:bCs/>
              </w:rPr>
              <w:t>②</w:t>
            </w:r>
            <w:r>
              <w:rPr>
                <w:rFonts w:cs="Times New Roman"/>
              </w:rPr>
              <w:t>为减少事故性排放对周围环境的影响，原材料运输车辆，在运输中可能产生粉尘污染，应遮盖严密，捆绑牢固，厂区内严禁出现扬尘或散落现象，并且按指定地点卸料。生产过程中设备如出现漏料、堵料或溢料跑尘时，应尽快组织处理，在短时间内不能处理的，必须停机处理完善后方可复开机。</w:t>
            </w:r>
          </w:p>
          <w:p>
            <w:pPr>
              <w:spacing w:line="360" w:lineRule="auto"/>
              <w:ind w:firstLine="480" w:firstLineChars="200"/>
              <w:rPr>
                <w:rFonts w:cs="Times New Roman"/>
                <w:bCs/>
              </w:rPr>
            </w:pPr>
            <w:r>
              <w:rPr>
                <w:rFonts w:cs="Times New Roman"/>
                <w:bCs/>
              </w:rPr>
              <w:t>针对本项目特点，提出以下几点环境风险管理要求：</w:t>
            </w:r>
          </w:p>
          <w:p>
            <w:pPr>
              <w:spacing w:line="360" w:lineRule="auto"/>
              <w:ind w:firstLine="480" w:firstLineChars="200"/>
              <w:rPr>
                <w:rFonts w:cs="Times New Roman"/>
                <w:bCs/>
              </w:rPr>
            </w:pPr>
            <w:r>
              <w:rPr>
                <w:rFonts w:cs="Times New Roman"/>
                <w:bCs/>
              </w:rPr>
              <w:t>①总平面布置严格按照建筑安全及防火规范要求；</w:t>
            </w:r>
          </w:p>
          <w:p>
            <w:pPr>
              <w:spacing w:line="360" w:lineRule="auto"/>
              <w:ind w:firstLine="480" w:firstLineChars="200"/>
              <w:rPr>
                <w:rFonts w:cs="Times New Roman"/>
                <w:bCs/>
              </w:rPr>
            </w:pPr>
            <w:r>
              <w:rPr>
                <w:rFonts w:cs="Times New Roman"/>
                <w:bCs/>
              </w:rPr>
              <w:t>②设置电气、防雷、防静电安全防范措施；</w:t>
            </w:r>
          </w:p>
          <w:p>
            <w:pPr>
              <w:spacing w:line="360" w:lineRule="auto"/>
              <w:ind w:firstLine="480" w:firstLineChars="200"/>
              <w:rPr>
                <w:rFonts w:cs="Times New Roman"/>
                <w:bCs/>
              </w:rPr>
            </w:pPr>
            <w:r>
              <w:rPr>
                <w:rFonts w:cs="Times New Roman"/>
                <w:bCs/>
              </w:rPr>
              <w:t>③安装消防、火灾报警自控系统；</w:t>
            </w:r>
          </w:p>
          <w:p>
            <w:pPr>
              <w:spacing w:line="360" w:lineRule="auto"/>
              <w:ind w:firstLine="480" w:firstLineChars="200"/>
              <w:rPr>
                <w:rFonts w:cs="Times New Roman"/>
                <w:bCs/>
              </w:rPr>
            </w:pPr>
            <w:r>
              <w:rPr>
                <w:rFonts w:cs="Times New Roman"/>
                <w:bCs/>
              </w:rPr>
              <w:t>④提高员工的安全意识，加强防火安全教育或应急演习。</w:t>
            </w:r>
          </w:p>
          <w:p>
            <w:pPr>
              <w:spacing w:line="360" w:lineRule="auto"/>
              <w:ind w:firstLine="480" w:firstLineChars="200"/>
              <w:rPr>
                <w:rFonts w:cs="Times New Roman"/>
                <w:bCs/>
              </w:rPr>
            </w:pPr>
            <w:r>
              <w:rPr>
                <w:rFonts w:cs="Times New Roman"/>
                <w:bCs/>
              </w:rPr>
              <w:t>⑤建设单位应按消防要求规范设置室外消防栓和小型灭火设备，车间内配设手提式泡沫灭火器和二氧化碳灭火器，仓库消防设施按所存储物料的要求相应配备。为了能在事故发生时，迅速准确、有条不紊地处理和控制事故。</w:t>
            </w:r>
          </w:p>
          <w:p>
            <w:pPr>
              <w:pStyle w:val="8"/>
            </w:pPr>
            <w:r>
              <w:t>事故应急预案</w:t>
            </w:r>
          </w:p>
          <w:p>
            <w:pPr>
              <w:pStyle w:val="32"/>
              <w:spacing w:line="360" w:lineRule="auto"/>
              <w:ind w:left="0" w:leftChars="0" w:firstLine="480"/>
              <w:rPr>
                <w:rFonts w:cs="Times New Roman"/>
                <w:bCs/>
              </w:rPr>
            </w:pPr>
            <w:r>
              <w:rPr>
                <w:rFonts w:cs="Times New Roman"/>
              </w:rPr>
              <w:t>根据本环境风险分析的结果，对于本项目可能造成环境风险的突发性事故制定应急预案纲要，见下表所示，供项目决策人参考。</w:t>
            </w:r>
          </w:p>
          <w:p>
            <w:pPr>
              <w:jc w:val="center"/>
              <w:rPr>
                <w:rFonts w:cs="Times New Roman"/>
                <w:b/>
                <w:sz w:val="21"/>
              </w:rPr>
            </w:pPr>
            <w:r>
              <w:rPr>
                <w:rFonts w:cs="Times New Roman"/>
                <w:b/>
                <w:sz w:val="21"/>
              </w:rPr>
              <w:t>表7.2-3</w:t>
            </w:r>
            <w:r>
              <w:rPr>
                <w:rFonts w:hint="eastAsia" w:cs="Times New Roman"/>
                <w:b/>
                <w:sz w:val="21"/>
              </w:rPr>
              <w:t>9</w:t>
            </w:r>
            <w:r>
              <w:rPr>
                <w:rFonts w:cs="Times New Roman"/>
                <w:b/>
                <w:sz w:val="21"/>
              </w:rPr>
              <w:t xml:space="preserve">  环境风险突发事故应急预案</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764"/>
              <w:gridCol w:w="6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序号</w:t>
                  </w:r>
                </w:p>
              </w:tc>
              <w:tc>
                <w:tcPr>
                  <w:tcW w:w="0" w:type="auto"/>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项目</w:t>
                  </w:r>
                </w:p>
              </w:tc>
              <w:tc>
                <w:tcPr>
                  <w:tcW w:w="0" w:type="auto"/>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1</w:t>
                  </w:r>
                </w:p>
              </w:tc>
              <w:tc>
                <w:tcPr>
                  <w:tcW w:w="0" w:type="auto"/>
                  <w:vAlign w:val="center"/>
                </w:tcPr>
                <w:p>
                  <w:pPr>
                    <w:jc w:val="center"/>
                    <w:rPr>
                      <w:rFonts w:cs="Times New Roman"/>
                      <w:bCs/>
                      <w:sz w:val="21"/>
                    </w:rPr>
                  </w:pPr>
                  <w:r>
                    <w:rPr>
                      <w:rFonts w:cs="Times New Roman"/>
                      <w:bCs/>
                      <w:kern w:val="0"/>
                      <w:sz w:val="21"/>
                    </w:rPr>
                    <w:t>危险源情况</w:t>
                  </w:r>
                </w:p>
              </w:tc>
              <w:tc>
                <w:tcPr>
                  <w:tcW w:w="0" w:type="auto"/>
                  <w:vAlign w:val="center"/>
                </w:tcPr>
                <w:p>
                  <w:pPr>
                    <w:jc w:val="center"/>
                    <w:rPr>
                      <w:rFonts w:cs="Times New Roman"/>
                      <w:bCs/>
                      <w:sz w:val="21"/>
                    </w:rPr>
                  </w:pPr>
                  <w:r>
                    <w:rPr>
                      <w:rFonts w:cs="Times New Roman"/>
                      <w:bCs/>
                      <w:kern w:val="0"/>
                      <w:sz w:val="21"/>
                    </w:rPr>
                    <w:t>详细说明危险源类型、数量、分布及其对环境的风险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2</w:t>
                  </w:r>
                </w:p>
              </w:tc>
              <w:tc>
                <w:tcPr>
                  <w:tcW w:w="0" w:type="auto"/>
                  <w:vAlign w:val="center"/>
                </w:tcPr>
                <w:p>
                  <w:pPr>
                    <w:jc w:val="center"/>
                    <w:rPr>
                      <w:rFonts w:cs="Times New Roman"/>
                      <w:bCs/>
                      <w:sz w:val="21"/>
                    </w:rPr>
                  </w:pPr>
                  <w:r>
                    <w:rPr>
                      <w:rFonts w:cs="Times New Roman"/>
                      <w:bCs/>
                      <w:kern w:val="0"/>
                      <w:sz w:val="21"/>
                    </w:rPr>
                    <w:t>应急计划区</w:t>
                  </w:r>
                </w:p>
              </w:tc>
              <w:tc>
                <w:tcPr>
                  <w:tcW w:w="0" w:type="auto"/>
                  <w:vAlign w:val="center"/>
                </w:tcPr>
                <w:p>
                  <w:pPr>
                    <w:jc w:val="center"/>
                    <w:rPr>
                      <w:rFonts w:cs="Times New Roman"/>
                      <w:bCs/>
                      <w:sz w:val="21"/>
                    </w:rPr>
                  </w:pPr>
                  <w:r>
                    <w:rPr>
                      <w:rFonts w:cs="Times New Roman"/>
                      <w:bCs/>
                      <w:sz w:val="21"/>
                    </w:rPr>
                    <w:t>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3</w:t>
                  </w:r>
                </w:p>
              </w:tc>
              <w:tc>
                <w:tcPr>
                  <w:tcW w:w="0" w:type="auto"/>
                  <w:vAlign w:val="center"/>
                </w:tcPr>
                <w:p>
                  <w:pPr>
                    <w:jc w:val="center"/>
                    <w:rPr>
                      <w:rFonts w:cs="Times New Roman"/>
                      <w:bCs/>
                      <w:sz w:val="21"/>
                    </w:rPr>
                  </w:pPr>
                  <w:r>
                    <w:rPr>
                      <w:rFonts w:cs="Times New Roman"/>
                      <w:bCs/>
                      <w:kern w:val="0"/>
                      <w:sz w:val="21"/>
                    </w:rPr>
                    <w:t>应急组织</w:t>
                  </w:r>
                </w:p>
              </w:tc>
              <w:tc>
                <w:tcPr>
                  <w:tcW w:w="0" w:type="auto"/>
                  <w:vAlign w:val="center"/>
                </w:tcPr>
                <w:p>
                  <w:pPr>
                    <w:jc w:val="center"/>
                    <w:rPr>
                      <w:rFonts w:cs="Times New Roman"/>
                      <w:bCs/>
                      <w:sz w:val="21"/>
                    </w:rPr>
                  </w:pPr>
                  <w:r>
                    <w:rPr>
                      <w:rFonts w:cs="Times New Roman"/>
                      <w:bCs/>
                      <w:kern w:val="0"/>
                      <w:sz w:val="21"/>
                    </w:rPr>
                    <w:t>企业：成立公司应急指挥小组，由公司最高领导层担任小组长，负责现场全面指挥，专业救援队伍负责事故控制、救援和善后处理。临近地区：地区指挥部—负责企业附近地区全面指挥，救援，管制和疏散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4</w:t>
                  </w:r>
                </w:p>
              </w:tc>
              <w:tc>
                <w:tcPr>
                  <w:tcW w:w="0" w:type="auto"/>
                  <w:vAlign w:val="center"/>
                </w:tcPr>
                <w:p>
                  <w:pPr>
                    <w:jc w:val="center"/>
                    <w:rPr>
                      <w:rFonts w:cs="Times New Roman"/>
                      <w:bCs/>
                      <w:sz w:val="21"/>
                    </w:rPr>
                  </w:pPr>
                  <w:r>
                    <w:rPr>
                      <w:rFonts w:cs="Times New Roman"/>
                      <w:bCs/>
                      <w:kern w:val="0"/>
                      <w:sz w:val="21"/>
                    </w:rPr>
                    <w:t>应急状态分类应急响应程序</w:t>
                  </w:r>
                </w:p>
              </w:tc>
              <w:tc>
                <w:tcPr>
                  <w:tcW w:w="0" w:type="auto"/>
                  <w:vAlign w:val="center"/>
                </w:tcPr>
                <w:p>
                  <w:pPr>
                    <w:jc w:val="center"/>
                    <w:rPr>
                      <w:rFonts w:cs="Times New Roman"/>
                      <w:bCs/>
                      <w:sz w:val="21"/>
                    </w:rPr>
                  </w:pPr>
                  <w:r>
                    <w:rPr>
                      <w:rFonts w:cs="Times New Roman"/>
                      <w:bCs/>
                      <w:kern w:val="0"/>
                      <w:sz w:val="21"/>
                    </w:rPr>
                    <w:t>规定环境风险事故的级别及相应的应急状态分类，以此制定相应的应急响应程序。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5</w:t>
                  </w:r>
                </w:p>
              </w:tc>
              <w:tc>
                <w:tcPr>
                  <w:tcW w:w="0" w:type="auto"/>
                  <w:vAlign w:val="center"/>
                </w:tcPr>
                <w:p>
                  <w:pPr>
                    <w:jc w:val="center"/>
                    <w:rPr>
                      <w:rFonts w:cs="Times New Roman"/>
                      <w:bCs/>
                      <w:sz w:val="21"/>
                    </w:rPr>
                  </w:pPr>
                  <w:r>
                    <w:rPr>
                      <w:rFonts w:cs="Times New Roman"/>
                      <w:bCs/>
                      <w:kern w:val="0"/>
                      <w:sz w:val="21"/>
                    </w:rPr>
                    <w:t>应急设施设备与材料</w:t>
                  </w:r>
                </w:p>
              </w:tc>
              <w:tc>
                <w:tcPr>
                  <w:tcW w:w="0" w:type="auto"/>
                  <w:vAlign w:val="center"/>
                </w:tcPr>
                <w:p>
                  <w:pPr>
                    <w:jc w:val="center"/>
                    <w:rPr>
                      <w:rFonts w:cs="Times New Roman"/>
                      <w:bCs/>
                      <w:sz w:val="21"/>
                    </w:rPr>
                  </w:pPr>
                  <w:r>
                    <w:rPr>
                      <w:rFonts w:cs="Times New Roman"/>
                      <w:bCs/>
                      <w:kern w:val="0"/>
                      <w:sz w:val="21"/>
                    </w:rPr>
                    <w:t>仓库区：防火灾、爆炸事故的应急设施、设备与材料，主要为消防器材、消防服等；防有毒有害物质外溢、扩散；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6</w:t>
                  </w:r>
                </w:p>
              </w:tc>
              <w:tc>
                <w:tcPr>
                  <w:tcW w:w="0" w:type="auto"/>
                  <w:vAlign w:val="center"/>
                </w:tcPr>
                <w:p>
                  <w:pPr>
                    <w:jc w:val="center"/>
                    <w:rPr>
                      <w:rFonts w:cs="Times New Roman"/>
                      <w:bCs/>
                      <w:sz w:val="21"/>
                    </w:rPr>
                  </w:pPr>
                  <w:r>
                    <w:rPr>
                      <w:rFonts w:cs="Times New Roman"/>
                      <w:bCs/>
                      <w:kern w:val="0"/>
                      <w:sz w:val="21"/>
                    </w:rPr>
                    <w:t>应急通讯通告与交通</w:t>
                  </w:r>
                </w:p>
              </w:tc>
              <w:tc>
                <w:tcPr>
                  <w:tcW w:w="0" w:type="auto"/>
                  <w:vAlign w:val="center"/>
                </w:tcPr>
                <w:p>
                  <w:pPr>
                    <w:jc w:val="center"/>
                    <w:rPr>
                      <w:rFonts w:cs="Times New Roman"/>
                      <w:bCs/>
                      <w:sz w:val="21"/>
                    </w:rPr>
                  </w:pPr>
                  <w:r>
                    <w:rPr>
                      <w:rFonts w:cs="Times New Roman"/>
                      <w:bCs/>
                      <w:kern w:val="0"/>
                      <w:sz w:val="21"/>
                    </w:rPr>
                    <w:t>规定应急状态下的通讯、通告方式和交通保障、管理等事项。可充分利用现代化的通信设施，如手机、固定电话、广播、电视等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7</w:t>
                  </w:r>
                </w:p>
              </w:tc>
              <w:tc>
                <w:tcPr>
                  <w:tcW w:w="0" w:type="auto"/>
                  <w:vAlign w:val="center"/>
                </w:tcPr>
                <w:p>
                  <w:pPr>
                    <w:pStyle w:val="15"/>
                    <w:spacing w:line="240" w:lineRule="auto"/>
                    <w:rPr>
                      <w:rFonts w:cs="Times New Roman" w:eastAsiaTheme="minorEastAsia"/>
                      <w:b w:val="0"/>
                      <w:bCs/>
                      <w:sz w:val="21"/>
                      <w:szCs w:val="21"/>
                    </w:rPr>
                  </w:pPr>
                  <w:r>
                    <w:rPr>
                      <w:rFonts w:cs="Times New Roman" w:eastAsiaTheme="minorEastAsia"/>
                      <w:b w:val="0"/>
                      <w:bCs/>
                      <w:kern w:val="0"/>
                      <w:sz w:val="21"/>
                      <w:szCs w:val="21"/>
                    </w:rPr>
                    <w:t>应急环境监测及事故后评价</w:t>
                  </w:r>
                </w:p>
              </w:tc>
              <w:tc>
                <w:tcPr>
                  <w:tcW w:w="0" w:type="auto"/>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由专业人员对环境分析事故现场进行应急监测，对事故性质、严重程度均所造成的环境危害后果进行评估，吸取经验教训避免再次发生事故，为指挥部门提供决策依据。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8</w:t>
                  </w:r>
                </w:p>
              </w:tc>
              <w:tc>
                <w:tcPr>
                  <w:tcW w:w="0" w:type="auto"/>
                  <w:vAlign w:val="center"/>
                </w:tcPr>
                <w:p>
                  <w:pPr>
                    <w:jc w:val="center"/>
                    <w:rPr>
                      <w:rFonts w:cs="Times New Roman"/>
                      <w:bCs/>
                      <w:sz w:val="21"/>
                    </w:rPr>
                  </w:pPr>
                  <w:r>
                    <w:rPr>
                      <w:rFonts w:cs="Times New Roman"/>
                      <w:bCs/>
                      <w:kern w:val="0"/>
                      <w:sz w:val="21"/>
                    </w:rPr>
                    <w:t>应急防护措施消除泄漏措施及需使用器材</w:t>
                  </w:r>
                </w:p>
              </w:tc>
              <w:tc>
                <w:tcPr>
                  <w:tcW w:w="0" w:type="auto"/>
                  <w:vAlign w:val="center"/>
                </w:tcPr>
                <w:p>
                  <w:pPr>
                    <w:jc w:val="center"/>
                    <w:rPr>
                      <w:rFonts w:cs="Times New Roman"/>
                      <w:bCs/>
                      <w:sz w:val="21"/>
                    </w:rPr>
                  </w:pPr>
                  <w:r>
                    <w:rPr>
                      <w:rFonts w:cs="Times New Roman"/>
                      <w:bCs/>
                      <w:kern w:val="0"/>
                      <w:sz w:val="21"/>
                    </w:rPr>
                    <w:t>事故现场：控制事故发展，防止扩大、蔓延及连锁反应；清除现场泄泥物，降低危害；相应的设施器材配备；临近地区：控制防火区域，控制和消除环境污染的措施及相应的设备配备。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9</w:t>
                  </w:r>
                </w:p>
              </w:tc>
              <w:tc>
                <w:tcPr>
                  <w:tcW w:w="0" w:type="auto"/>
                  <w:vAlign w:val="center"/>
                </w:tcPr>
                <w:p>
                  <w:pPr>
                    <w:jc w:val="center"/>
                    <w:rPr>
                      <w:rFonts w:cs="Times New Roman"/>
                      <w:bCs/>
                      <w:sz w:val="21"/>
                    </w:rPr>
                  </w:pPr>
                  <w:r>
                    <w:rPr>
                      <w:rFonts w:cs="Times New Roman"/>
                      <w:bCs/>
                      <w:kern w:val="0"/>
                      <w:sz w:val="21"/>
                    </w:rPr>
                    <w:t>应急剂量控制撤离组织计划医疗救护与保护公众健康</w:t>
                  </w:r>
                </w:p>
              </w:tc>
              <w:tc>
                <w:tcPr>
                  <w:tcW w:w="0" w:type="auto"/>
                  <w:vAlign w:val="center"/>
                </w:tcPr>
                <w:p>
                  <w:pPr>
                    <w:jc w:val="center"/>
                    <w:rPr>
                      <w:rFonts w:cs="Times New Roman"/>
                      <w:bCs/>
                      <w:sz w:val="21"/>
                    </w:rPr>
                  </w:pPr>
                  <w:r>
                    <w:rPr>
                      <w:rFonts w:cs="Times New Roman"/>
                      <w:bCs/>
                      <w:kern w:val="0"/>
                      <w:sz w:val="21"/>
                    </w:rPr>
                    <w:t>事故现场：事故处理人员制定物料的应急剂量、现场及临近装置人员的撤离组织计划和紧急救护方案；临近地区：制定受事故影响的临近地区内人员对物料的应急剂量、公众的疏散组织计划和紧急救护方案。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10</w:t>
                  </w:r>
                </w:p>
              </w:tc>
              <w:tc>
                <w:tcPr>
                  <w:tcW w:w="0" w:type="auto"/>
                  <w:vAlign w:val="center"/>
                </w:tcPr>
                <w:p>
                  <w:pPr>
                    <w:jc w:val="center"/>
                    <w:rPr>
                      <w:rFonts w:cs="Times New Roman"/>
                      <w:bCs/>
                      <w:sz w:val="21"/>
                    </w:rPr>
                  </w:pPr>
                  <w:r>
                    <w:rPr>
                      <w:rFonts w:cs="Times New Roman"/>
                      <w:bCs/>
                      <w:kern w:val="0"/>
                      <w:sz w:val="21"/>
                    </w:rPr>
                    <w:t>应急状态终止恢复措施</w:t>
                  </w:r>
                </w:p>
              </w:tc>
              <w:tc>
                <w:tcPr>
                  <w:tcW w:w="0" w:type="auto"/>
                  <w:vAlign w:val="center"/>
                </w:tcPr>
                <w:p>
                  <w:pPr>
                    <w:jc w:val="center"/>
                    <w:rPr>
                      <w:rFonts w:cs="Times New Roman"/>
                      <w:bCs/>
                      <w:sz w:val="21"/>
                    </w:rPr>
                  </w:pPr>
                  <w:r>
                    <w:rPr>
                      <w:rFonts w:cs="Times New Roman"/>
                      <w:bCs/>
                      <w:kern w:val="0"/>
                      <w:sz w:val="21"/>
                    </w:rPr>
                    <w:t>事故现场：规定应急状态终止秩序；事故现场善后处理，恢复生产措施；临近地区：解除事故警戒，公众返回和善后恢复措施。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11</w:t>
                  </w:r>
                </w:p>
              </w:tc>
              <w:tc>
                <w:tcPr>
                  <w:tcW w:w="0" w:type="auto"/>
                  <w:vAlign w:val="center"/>
                </w:tcPr>
                <w:p>
                  <w:pPr>
                    <w:jc w:val="center"/>
                    <w:rPr>
                      <w:rFonts w:cs="Times New Roman"/>
                      <w:bCs/>
                      <w:sz w:val="21"/>
                    </w:rPr>
                  </w:pPr>
                  <w:r>
                    <w:rPr>
                      <w:rFonts w:cs="Times New Roman"/>
                      <w:bCs/>
                      <w:kern w:val="0"/>
                      <w:sz w:val="21"/>
                    </w:rPr>
                    <w:t>人员培训与演习</w:t>
                  </w:r>
                </w:p>
              </w:tc>
              <w:tc>
                <w:tcPr>
                  <w:tcW w:w="0" w:type="auto"/>
                  <w:vAlign w:val="center"/>
                </w:tcPr>
                <w:p>
                  <w:pPr>
                    <w:jc w:val="center"/>
                    <w:rPr>
                      <w:rFonts w:cs="Times New Roman"/>
                      <w:bCs/>
                      <w:sz w:val="21"/>
                    </w:rPr>
                  </w:pPr>
                  <w:r>
                    <w:rPr>
                      <w:rFonts w:cs="Times New Roman"/>
                      <w:bCs/>
                      <w:kern w:val="0"/>
                      <w:sz w:val="21"/>
                    </w:rPr>
                    <w:t>应急计划制定后，平时安排事故出路人员进行相关知识培训并进行事故应急处理演习；对工厂工人进行安全卫生教育。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12</w:t>
                  </w:r>
                </w:p>
              </w:tc>
              <w:tc>
                <w:tcPr>
                  <w:tcW w:w="0" w:type="auto"/>
                  <w:vAlign w:val="center"/>
                </w:tcPr>
                <w:p>
                  <w:pPr>
                    <w:jc w:val="center"/>
                    <w:rPr>
                      <w:rFonts w:cs="Times New Roman"/>
                      <w:bCs/>
                      <w:sz w:val="21"/>
                    </w:rPr>
                  </w:pPr>
                  <w:r>
                    <w:rPr>
                      <w:rFonts w:cs="Times New Roman"/>
                      <w:bCs/>
                      <w:kern w:val="0"/>
                      <w:sz w:val="21"/>
                    </w:rPr>
                    <w:t>公众教育信息发布</w:t>
                  </w:r>
                </w:p>
              </w:tc>
              <w:tc>
                <w:tcPr>
                  <w:tcW w:w="0" w:type="auto"/>
                  <w:vAlign w:val="center"/>
                </w:tcPr>
                <w:p>
                  <w:pPr>
                    <w:jc w:val="center"/>
                    <w:rPr>
                      <w:rFonts w:cs="Times New Roman"/>
                      <w:bCs/>
                      <w:sz w:val="21"/>
                    </w:rPr>
                  </w:pPr>
                  <w:r>
                    <w:rPr>
                      <w:rFonts w:cs="Times New Roman"/>
                      <w:bCs/>
                      <w:kern w:val="0"/>
                      <w:sz w:val="21"/>
                    </w:rPr>
                    <w:t>对工厂临近地区公众开展环境风险事故预防教育、应急知识培训并定期发布相关信息。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13</w:t>
                  </w:r>
                </w:p>
              </w:tc>
              <w:tc>
                <w:tcPr>
                  <w:tcW w:w="0" w:type="auto"/>
                  <w:vAlign w:val="center"/>
                </w:tcPr>
                <w:p>
                  <w:pPr>
                    <w:jc w:val="center"/>
                    <w:rPr>
                      <w:rFonts w:cs="Times New Roman"/>
                      <w:bCs/>
                      <w:sz w:val="21"/>
                    </w:rPr>
                  </w:pPr>
                  <w:r>
                    <w:rPr>
                      <w:rFonts w:cs="Times New Roman"/>
                      <w:bCs/>
                      <w:kern w:val="0"/>
                      <w:sz w:val="21"/>
                    </w:rPr>
                    <w:t>记录和报告</w:t>
                  </w:r>
                </w:p>
              </w:tc>
              <w:tc>
                <w:tcPr>
                  <w:tcW w:w="0" w:type="auto"/>
                  <w:vAlign w:val="center"/>
                </w:tcPr>
                <w:p>
                  <w:pPr>
                    <w:jc w:val="center"/>
                    <w:rPr>
                      <w:rFonts w:cs="Times New Roman"/>
                      <w:bCs/>
                      <w:sz w:val="21"/>
                    </w:rPr>
                  </w:pPr>
                  <w:r>
                    <w:rPr>
                      <w:rFonts w:cs="Times New Roman"/>
                      <w:bCs/>
                      <w:kern w:val="0"/>
                      <w:sz w:val="21"/>
                    </w:rP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jc w:val="center"/>
                    <w:rPr>
                      <w:rFonts w:cs="Times New Roman"/>
                      <w:bCs/>
                      <w:sz w:val="21"/>
                    </w:rPr>
                  </w:pPr>
                  <w:r>
                    <w:rPr>
                      <w:rFonts w:cs="Times New Roman"/>
                      <w:bCs/>
                      <w:sz w:val="21"/>
                    </w:rPr>
                    <w:t>14</w:t>
                  </w:r>
                </w:p>
              </w:tc>
              <w:tc>
                <w:tcPr>
                  <w:tcW w:w="0" w:type="auto"/>
                  <w:vAlign w:val="center"/>
                </w:tcPr>
                <w:p>
                  <w:pPr>
                    <w:jc w:val="center"/>
                    <w:rPr>
                      <w:rFonts w:cs="Times New Roman"/>
                      <w:bCs/>
                      <w:sz w:val="21"/>
                    </w:rPr>
                  </w:pPr>
                  <w:r>
                    <w:rPr>
                      <w:rFonts w:cs="Times New Roman"/>
                      <w:bCs/>
                      <w:kern w:val="0"/>
                      <w:sz w:val="21"/>
                    </w:rPr>
                    <w:t>附件</w:t>
                  </w:r>
                </w:p>
              </w:tc>
              <w:tc>
                <w:tcPr>
                  <w:tcW w:w="0" w:type="auto"/>
                  <w:vAlign w:val="center"/>
                </w:tcPr>
                <w:p>
                  <w:pPr>
                    <w:jc w:val="center"/>
                    <w:rPr>
                      <w:rFonts w:cs="Times New Roman"/>
                      <w:bCs/>
                      <w:sz w:val="21"/>
                    </w:rPr>
                  </w:pPr>
                  <w:r>
                    <w:rPr>
                      <w:rFonts w:cs="Times New Roman"/>
                      <w:bCs/>
                      <w:kern w:val="0"/>
                      <w:sz w:val="21"/>
                    </w:rPr>
                    <w:t>准备并形成环境风险事故应急处理有关的附件材料。</w:t>
                  </w:r>
                </w:p>
              </w:tc>
            </w:tr>
          </w:tbl>
          <w:p>
            <w:pPr>
              <w:pStyle w:val="8"/>
            </w:pPr>
            <w:r>
              <w:t>分析结论</w:t>
            </w:r>
          </w:p>
          <w:p>
            <w:pPr>
              <w:autoSpaceDE w:val="0"/>
              <w:autoSpaceDN w:val="0"/>
              <w:adjustRightInd w:val="0"/>
              <w:spacing w:line="360" w:lineRule="auto"/>
              <w:ind w:firstLine="480" w:firstLineChars="200"/>
              <w:jc w:val="left"/>
              <w:rPr>
                <w:rFonts w:cs="Times New Roman"/>
              </w:rPr>
            </w:pPr>
            <w:r>
              <w:rPr>
                <w:rFonts w:cs="Times New Roman"/>
              </w:rPr>
              <w:t>项目风险物质的最大储存量较小，项目可能发生的风险事故较单一，环境风险具有不确定性，项目的火灾风险是最可能发生的风险事故。因此，本评价认为项目在营运过程中，只要不断加强环境管理和生产安全管理，落实每一个环节的风险防范措施和应急措施，环境风险事故具有可预防和可控制性，不会对周边环境造成较大影响。从环境风险角度分析，本项目建设可行。</w:t>
            </w:r>
          </w:p>
          <w:p>
            <w:pPr>
              <w:jc w:val="center"/>
              <w:rPr>
                <w:rFonts w:cs="Times New Roman"/>
                <w:b/>
                <w:sz w:val="21"/>
              </w:rPr>
            </w:pPr>
            <w:r>
              <w:rPr>
                <w:rFonts w:cs="Times New Roman"/>
                <w:b/>
                <w:sz w:val="21"/>
              </w:rPr>
              <w:t>表7.2-</w:t>
            </w:r>
            <w:r>
              <w:rPr>
                <w:rFonts w:hint="eastAsia" w:cs="Times New Roman"/>
                <w:b/>
                <w:sz w:val="21"/>
              </w:rPr>
              <w:t>40</w:t>
            </w:r>
            <w:r>
              <w:rPr>
                <w:rFonts w:cs="Times New Roman"/>
                <w:b/>
                <w:sz w:val="21"/>
              </w:rPr>
              <w:t xml:space="preserve">  建设项目环境风险简单分析内容表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2067"/>
              <w:gridCol w:w="1414"/>
              <w:gridCol w:w="1499"/>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建设项目名称</w:t>
                  </w:r>
                </w:p>
              </w:tc>
              <w:tc>
                <w:tcPr>
                  <w:tcW w:w="3925" w:type="pct"/>
                  <w:gridSpan w:val="4"/>
                  <w:vAlign w:val="center"/>
                </w:tcPr>
                <w:p>
                  <w:pPr>
                    <w:pStyle w:val="15"/>
                    <w:spacing w:line="240" w:lineRule="auto"/>
                    <w:ind w:left="480"/>
                    <w:rPr>
                      <w:rFonts w:cs="Times New Roman" w:eastAsiaTheme="minorEastAsia"/>
                      <w:b w:val="0"/>
                      <w:bCs/>
                      <w:sz w:val="21"/>
                      <w:szCs w:val="21"/>
                    </w:rPr>
                  </w:pPr>
                  <w:r>
                    <w:rPr>
                      <w:rFonts w:cs="Times New Roman" w:eastAsiaTheme="minorEastAsia"/>
                      <w:b w:val="0"/>
                      <w:bCs/>
                      <w:sz w:val="21"/>
                      <w:szCs w:val="21"/>
                    </w:rPr>
                    <w:t>宏源分公司异地搬迁项目(90万m</w:t>
                  </w:r>
                  <w:r>
                    <w:rPr>
                      <w:rFonts w:cs="Times New Roman" w:eastAsiaTheme="minorEastAsia"/>
                      <w:b w:val="0"/>
                      <w:bCs/>
                      <w:sz w:val="21"/>
                      <w:szCs w:val="21"/>
                      <w:vertAlign w:val="superscript"/>
                    </w:rPr>
                    <w:t>3</w:t>
                  </w:r>
                  <w:r>
                    <w:rPr>
                      <w:rFonts w:cs="Times New Roman" w:eastAsiaTheme="minorEastAsia"/>
                      <w:b w:val="0"/>
                      <w:bCs/>
                      <w:sz w:val="21"/>
                      <w:szCs w:val="21"/>
                    </w:rPr>
                    <w:t>/年商品混凝土)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建设地点</w:t>
                  </w:r>
                </w:p>
              </w:tc>
              <w:tc>
                <w:tcPr>
                  <w:tcW w:w="3925" w:type="pct"/>
                  <w:gridSpan w:val="4"/>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岳阳市经济开发区金凤路监申桥工业园湖南岳阳南方新材料科技有限公司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地理坐标</w:t>
                  </w:r>
                </w:p>
              </w:tc>
              <w:tc>
                <w:tcPr>
                  <w:tcW w:w="1266"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经度</w:t>
                  </w:r>
                </w:p>
              </w:tc>
              <w:tc>
                <w:tcPr>
                  <w:tcW w:w="768"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113°13'10.92"</w:t>
                  </w:r>
                </w:p>
              </w:tc>
              <w:tc>
                <w:tcPr>
                  <w:tcW w:w="924" w:type="pct"/>
                  <w:vAlign w:val="center"/>
                </w:tcPr>
                <w:p>
                  <w:pPr>
                    <w:pStyle w:val="15"/>
                    <w:spacing w:line="240" w:lineRule="auto"/>
                    <w:ind w:left="480"/>
                    <w:rPr>
                      <w:rFonts w:cs="Times New Roman" w:eastAsiaTheme="minorEastAsia"/>
                      <w:b w:val="0"/>
                      <w:bCs/>
                      <w:sz w:val="21"/>
                      <w:szCs w:val="21"/>
                    </w:rPr>
                  </w:pPr>
                  <w:r>
                    <w:rPr>
                      <w:rFonts w:cs="Times New Roman" w:eastAsiaTheme="minorEastAsia"/>
                      <w:b w:val="0"/>
                      <w:bCs/>
                      <w:sz w:val="21"/>
                      <w:szCs w:val="21"/>
                    </w:rPr>
                    <w:t>纬度</w:t>
                  </w:r>
                </w:p>
              </w:tc>
              <w:tc>
                <w:tcPr>
                  <w:tcW w:w="967"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29°29'20.85"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主要危险物质及分析</w:t>
                  </w:r>
                </w:p>
              </w:tc>
              <w:tc>
                <w:tcPr>
                  <w:tcW w:w="3925" w:type="pct"/>
                  <w:gridSpan w:val="4"/>
                  <w:vAlign w:val="center"/>
                </w:tcPr>
                <w:p>
                  <w:pPr>
                    <w:jc w:val="center"/>
                    <w:rPr>
                      <w:rFonts w:cs="Times New Roman"/>
                      <w:sz w:val="21"/>
                    </w:rPr>
                  </w:pPr>
                  <w:r>
                    <w:rPr>
                      <w:rFonts w:cs="Times New Roman"/>
                      <w:sz w:val="21"/>
                    </w:rPr>
                    <w:t>润滑油，机修车间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环境影响途径及危害后果（大气、地表水、地下水）</w:t>
                  </w:r>
                </w:p>
              </w:tc>
              <w:tc>
                <w:tcPr>
                  <w:tcW w:w="3925" w:type="pct"/>
                  <w:gridSpan w:val="4"/>
                  <w:vAlign w:val="center"/>
                </w:tcPr>
                <w:p>
                  <w:pPr>
                    <w:autoSpaceDE w:val="0"/>
                    <w:autoSpaceDN w:val="0"/>
                    <w:adjustRightInd w:val="0"/>
                    <w:rPr>
                      <w:rFonts w:cs="Times New Roman"/>
                      <w:bCs/>
                      <w:sz w:val="21"/>
                    </w:rPr>
                  </w:pPr>
                  <w:r>
                    <w:rPr>
                      <w:rFonts w:cs="Times New Roman"/>
                      <w:bCs/>
                      <w:sz w:val="21"/>
                    </w:rPr>
                    <w:t>1、大气：润滑油属于可燃物品，产生的废气会对人体造成一定的危害，也容易产生火灾，雷电和静电淤积也可引起燃烧。物料发生火灾时将放出大量辐射热，同时还散发出大量的浓烟，浓烟是由燃烧物质释放出的高温蒸汽、有机废气、一氧化碳、氮氧化物、未燃烧物质和被火焰加热而带入上升气流中的大量空气等多种物质组成。它不但含有大量的热量，而且含有毒气体和弥散的固体微粒。因此浓烟对火场周围人员的生命安全危害程度远超过火灾本身，并对周围的大气环境质量造成很大的污染和破坏。</w:t>
                  </w:r>
                </w:p>
                <w:p>
                  <w:pPr>
                    <w:autoSpaceDE w:val="0"/>
                    <w:autoSpaceDN w:val="0"/>
                    <w:adjustRightInd w:val="0"/>
                    <w:rPr>
                      <w:rFonts w:cs="Times New Roman"/>
                      <w:bCs/>
                      <w:sz w:val="21"/>
                    </w:rPr>
                  </w:pPr>
                  <w:r>
                    <w:rPr>
                      <w:rFonts w:cs="Times New Roman"/>
                      <w:bCs/>
                      <w:sz w:val="21"/>
                    </w:rPr>
                    <w:t>2、地下水：润滑油发生泄漏时会渗透进入土壤，造成厂址所在地的地下水水质造成影响。</w:t>
                  </w:r>
                </w:p>
                <w:p>
                  <w:pPr>
                    <w:autoSpaceDE w:val="0"/>
                    <w:autoSpaceDN w:val="0"/>
                    <w:adjustRightInd w:val="0"/>
                    <w:rPr>
                      <w:rFonts w:cs="Times New Roman"/>
                      <w:bCs/>
                      <w:sz w:val="21"/>
                    </w:rPr>
                  </w:pPr>
                  <w:r>
                    <w:rPr>
                      <w:rFonts w:cs="Times New Roman"/>
                      <w:bCs/>
                      <w:sz w:val="21"/>
                    </w:rPr>
                    <w:t>3、地表水：润滑油发生泄漏，随雨水冲刷，使其排入周边水体，造成地表水水质造成影响。</w:t>
                  </w:r>
                </w:p>
                <w:p>
                  <w:pPr>
                    <w:autoSpaceDE w:val="0"/>
                    <w:autoSpaceDN w:val="0"/>
                    <w:adjustRightInd w:val="0"/>
                    <w:jc w:val="center"/>
                    <w:rPr>
                      <w:rFonts w:cs="Times New Roman"/>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pct"/>
                  <w:vAlign w:val="center"/>
                </w:tcPr>
                <w:p>
                  <w:pPr>
                    <w:pStyle w:val="15"/>
                    <w:spacing w:line="240" w:lineRule="auto"/>
                    <w:rPr>
                      <w:rFonts w:cs="Times New Roman" w:eastAsiaTheme="minorEastAsia"/>
                      <w:b w:val="0"/>
                      <w:bCs/>
                      <w:sz w:val="21"/>
                      <w:szCs w:val="21"/>
                    </w:rPr>
                  </w:pPr>
                  <w:r>
                    <w:rPr>
                      <w:rFonts w:cs="Times New Roman" w:eastAsiaTheme="minorEastAsia"/>
                      <w:b w:val="0"/>
                      <w:bCs/>
                      <w:sz w:val="21"/>
                      <w:szCs w:val="21"/>
                    </w:rPr>
                    <w:t>风险防范措施要求</w:t>
                  </w:r>
                </w:p>
              </w:tc>
              <w:tc>
                <w:tcPr>
                  <w:tcW w:w="3925" w:type="pct"/>
                  <w:gridSpan w:val="4"/>
                  <w:vAlign w:val="center"/>
                </w:tcPr>
                <w:p>
                  <w:pPr>
                    <w:pStyle w:val="28"/>
                    <w:ind w:left="0" w:leftChars="0"/>
                    <w:rPr>
                      <w:rFonts w:cs="Times New Roman"/>
                      <w:sz w:val="21"/>
                    </w:rPr>
                  </w:pPr>
                  <w:r>
                    <w:rPr>
                      <w:rFonts w:cs="Times New Roman"/>
                      <w:sz w:val="21"/>
                    </w:rPr>
                    <w:t>1、加强职工的安全教育，提高安全防范风险的意识；</w:t>
                  </w:r>
                </w:p>
                <w:p>
                  <w:pPr>
                    <w:pStyle w:val="28"/>
                    <w:ind w:left="0" w:leftChars="0"/>
                    <w:rPr>
                      <w:rFonts w:cs="Times New Roman"/>
                      <w:sz w:val="21"/>
                    </w:rPr>
                  </w:pPr>
                  <w:r>
                    <w:rPr>
                      <w:rFonts w:cs="Times New Roman"/>
                      <w:sz w:val="21"/>
                    </w:rPr>
                    <w:t>2、针对运营中可能发生的异常现象和存在的安全隐患，设置合理可行的技术措施，制定严格的操作规程；</w:t>
                  </w:r>
                </w:p>
                <w:p>
                  <w:pPr>
                    <w:pStyle w:val="28"/>
                    <w:ind w:left="0" w:leftChars="0"/>
                    <w:rPr>
                      <w:rFonts w:cs="Times New Roman"/>
                      <w:sz w:val="21"/>
                    </w:rPr>
                  </w:pPr>
                  <w:r>
                    <w:rPr>
                      <w:rFonts w:cs="Times New Roman"/>
                      <w:sz w:val="21"/>
                    </w:rPr>
                    <w:t>3、对易发生泄漏的部位实行定期的巡检制度，及时发现问题并解决；</w:t>
                  </w:r>
                </w:p>
                <w:p>
                  <w:pPr>
                    <w:pStyle w:val="28"/>
                    <w:ind w:left="0" w:leftChars="0"/>
                    <w:rPr>
                      <w:rFonts w:cs="Times New Roman"/>
                      <w:sz w:val="21"/>
                    </w:rPr>
                  </w:pPr>
                  <w:r>
                    <w:rPr>
                      <w:rFonts w:cs="Times New Roman"/>
                      <w:sz w:val="21"/>
                    </w:rPr>
                    <w:t>4、严格执行防火、防爆、防雷击、防毒害等各项要求；</w:t>
                  </w:r>
                </w:p>
                <w:p>
                  <w:pPr>
                    <w:pStyle w:val="28"/>
                    <w:ind w:left="0" w:leftChars="0"/>
                    <w:rPr>
                      <w:rFonts w:cs="Times New Roman"/>
                      <w:sz w:val="21"/>
                    </w:rPr>
                  </w:pPr>
                  <w:r>
                    <w:rPr>
                      <w:rFonts w:cs="Times New Roman"/>
                      <w:sz w:val="21"/>
                    </w:rPr>
                    <w:t>5、建立健全安全、环境管理体系及高效的安全生产机构，一旦发生事故，要做到快速、高效、安全处置。</w:t>
                  </w:r>
                </w:p>
                <w:p>
                  <w:pPr>
                    <w:pStyle w:val="28"/>
                    <w:ind w:left="0" w:leftChars="0"/>
                    <w:rPr>
                      <w:rFonts w:cs="Times New Roman"/>
                      <w:sz w:val="21"/>
                    </w:rPr>
                  </w:pPr>
                  <w:r>
                    <w:rPr>
                      <w:rFonts w:cs="Times New Roman"/>
                      <w:sz w:val="21"/>
                    </w:rPr>
                    <w:t>6、厂区内的电气设备严格按照防爆区划分配置。</w:t>
                  </w:r>
                </w:p>
                <w:p>
                  <w:pPr>
                    <w:pStyle w:val="28"/>
                    <w:ind w:left="0" w:leftChars="0"/>
                    <w:rPr>
                      <w:rFonts w:cs="Times New Roman"/>
                      <w:sz w:val="21"/>
                    </w:rPr>
                  </w:pPr>
                  <w:r>
                    <w:rPr>
                      <w:rFonts w:cs="Times New Roman"/>
                      <w:sz w:val="21"/>
                    </w:rPr>
                    <w:t>7、在储存区设立警告牌(严禁烟火)。</w:t>
                  </w:r>
                </w:p>
                <w:p>
                  <w:pPr>
                    <w:pStyle w:val="28"/>
                    <w:ind w:left="0" w:leftChars="0"/>
                    <w:rPr>
                      <w:rFonts w:cs="Times New Roman"/>
                      <w:sz w:val="21"/>
                    </w:rPr>
                  </w:pPr>
                  <w:r>
                    <w:rPr>
                      <w:rFonts w:cs="Times New Roman"/>
                      <w:sz w:val="21"/>
                    </w:rPr>
                    <w:t>8、在厂区设立严禁打手机的警告牌。</w:t>
                  </w:r>
                </w:p>
                <w:p>
                  <w:pPr>
                    <w:pStyle w:val="28"/>
                    <w:ind w:left="0" w:leftChars="0"/>
                    <w:rPr>
                      <w:rFonts w:cs="Times New Roman"/>
                      <w:sz w:val="21"/>
                    </w:rPr>
                  </w:pPr>
                  <w:r>
                    <w:rPr>
                      <w:rFonts w:cs="Times New Roman"/>
                      <w:sz w:val="21"/>
                    </w:rPr>
                    <w:t>9、按照设计图的要求，注意避雷针的安全防护措施。</w:t>
                  </w:r>
                </w:p>
                <w:p>
                  <w:pPr>
                    <w:pStyle w:val="28"/>
                    <w:ind w:left="0" w:leftChars="0"/>
                    <w:rPr>
                      <w:rFonts w:cs="Times New Roman"/>
                      <w:sz w:val="21"/>
                    </w:rPr>
                  </w:pPr>
                  <w:r>
                    <w:rPr>
                      <w:rFonts w:cs="Times New Roman"/>
                      <w:sz w:val="21"/>
                    </w:rPr>
                    <w:t>10废气处理设施因故停运，因及时停止生产，避免对周边空气产生影响。</w:t>
                  </w:r>
                </w:p>
                <w:p>
                  <w:pPr>
                    <w:rPr>
                      <w:rFonts w:cs="Times New Roman"/>
                      <w:bCs/>
                      <w:sz w:val="21"/>
                    </w:rPr>
                  </w:pPr>
                  <w:r>
                    <w:rPr>
                      <w:rFonts w:cs="Times New Roman"/>
                      <w:sz w:val="21"/>
                    </w:rPr>
                    <w:t>11加强职工的安全教育，提高安全防范意识，定期进行演习以检查行动计划的效果，并尽快编制突发环境风险应急预案。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autoSpaceDE w:val="0"/>
                    <w:autoSpaceDN w:val="0"/>
                    <w:adjustRightInd w:val="0"/>
                    <w:jc w:val="center"/>
                    <w:rPr>
                      <w:rFonts w:cs="Times New Roman"/>
                      <w:bCs/>
                      <w:sz w:val="21"/>
                    </w:rPr>
                  </w:pPr>
                  <w:r>
                    <w:rPr>
                      <w:rFonts w:cs="Times New Roman"/>
                      <w:bCs/>
                      <w:sz w:val="21"/>
                    </w:rPr>
                    <w:t>项目相关信息及评价说明：环境风险防控和应急措施制度建立，环境风险防控的重点岗位的责任人或责任机构明确，定期巡检和维护责任制度落实。企业注重安全生产方面的工作，组织人员在安全生产、环境风险管理等方面进行较为详细的规定，并编制较完备的管理制度。各项安全生产制度及环境风险管理制度中建立环境风险防控及应急制度制度，明确环境风险防控的重点岗位的责任机构及责任人，并落实定期巡检和维护责任制度，一定程度上对环境风险进行有效的防控</w:t>
                  </w:r>
                </w:p>
              </w:tc>
            </w:tr>
          </w:tbl>
          <w:p>
            <w:pPr>
              <w:pStyle w:val="7"/>
              <w:rPr>
                <w:rFonts w:cs="Times New Roman" w:eastAsiaTheme="minorEastAsia"/>
              </w:rPr>
            </w:pPr>
            <w:r>
              <w:rPr>
                <w:rFonts w:cs="Times New Roman" w:eastAsiaTheme="minorEastAsia"/>
              </w:rPr>
              <w:t>环境管理与监测</w:t>
            </w:r>
          </w:p>
          <w:p>
            <w:pPr>
              <w:autoSpaceDE w:val="0"/>
              <w:autoSpaceDN w:val="0"/>
              <w:adjustRightInd w:val="0"/>
              <w:spacing w:line="360" w:lineRule="auto"/>
              <w:ind w:firstLine="480" w:firstLineChars="200"/>
              <w:jc w:val="left"/>
              <w:rPr>
                <w:rFonts w:cs="Times New Roman"/>
                <w:color w:val="000000" w:themeColor="text1"/>
                <w:kern w:val="0"/>
                <w:szCs w:val="24"/>
              </w:rPr>
            </w:pPr>
            <w:r>
              <w:rPr>
                <w:rFonts w:cs="Times New Roman"/>
                <w:color w:val="000000" w:themeColor="text1"/>
                <w:szCs w:val="24"/>
              </w:rPr>
              <w:t>本项目生产过程会对周围环境产生一定的影响，因此必须通过环境措施来缓解和消除不利的环境影响。为了保证环保措施的切实落实，使</w:t>
            </w:r>
            <w:r>
              <w:rPr>
                <w:rFonts w:cs="Times New Roman"/>
                <w:color w:val="000000" w:themeColor="text1"/>
                <w:kern w:val="0"/>
                <w:szCs w:val="24"/>
              </w:rPr>
              <w:t>项目的社会、经济和环境效益得以协调发展，必须加强环境管理，使项目建设符合国家要求经济建设、社会发展和环境建设的同步规划、同步发展和同步实施的方针。</w:t>
            </w:r>
          </w:p>
          <w:p>
            <w:pPr>
              <w:pStyle w:val="8"/>
            </w:pPr>
            <w:r>
              <w:t>环境管理机构</w:t>
            </w:r>
          </w:p>
          <w:p>
            <w:pPr>
              <w:autoSpaceDE w:val="0"/>
              <w:autoSpaceDN w:val="0"/>
              <w:adjustRightInd w:val="0"/>
              <w:spacing w:line="360" w:lineRule="auto"/>
              <w:ind w:firstLine="480" w:firstLineChars="200"/>
              <w:jc w:val="left"/>
              <w:rPr>
                <w:rFonts w:cs="Times New Roman"/>
                <w:color w:val="000000" w:themeColor="text1"/>
                <w:szCs w:val="24"/>
              </w:rPr>
            </w:pPr>
            <w:r>
              <w:rPr>
                <w:rFonts w:cs="Times New Roman"/>
                <w:color w:val="000000" w:themeColor="text1"/>
                <w:szCs w:val="24"/>
              </w:rPr>
              <w:t>（1）环境管理机构的建立</w:t>
            </w:r>
          </w:p>
          <w:p>
            <w:pPr>
              <w:autoSpaceDE w:val="0"/>
              <w:autoSpaceDN w:val="0"/>
              <w:adjustRightInd w:val="0"/>
              <w:spacing w:line="360" w:lineRule="auto"/>
              <w:ind w:firstLine="480" w:firstLineChars="200"/>
              <w:jc w:val="left"/>
              <w:rPr>
                <w:rFonts w:cs="Times New Roman"/>
                <w:color w:val="000000" w:themeColor="text1"/>
                <w:szCs w:val="24"/>
              </w:rPr>
            </w:pPr>
            <w:r>
              <w:rPr>
                <w:rFonts w:cs="Times New Roman"/>
                <w:color w:val="000000" w:themeColor="text1"/>
                <w:szCs w:val="24"/>
              </w:rPr>
              <w:t>企业根据全厂开展环境保护工作的实际需要，必须在全厂范围内建立环保监督管理网络，成立环保监督领导小组，由副厂长分管环保，厂内设置环保专工1 人。负责厂区环保设施运营及主要负责全厂“三废”的管理工作。</w:t>
            </w:r>
          </w:p>
          <w:p>
            <w:pPr>
              <w:autoSpaceDE w:val="0"/>
              <w:autoSpaceDN w:val="0"/>
              <w:adjustRightInd w:val="0"/>
              <w:spacing w:line="360" w:lineRule="auto"/>
              <w:ind w:firstLine="480" w:firstLineChars="200"/>
              <w:jc w:val="left"/>
              <w:rPr>
                <w:rFonts w:cs="Times New Roman"/>
                <w:color w:val="000000" w:themeColor="text1"/>
                <w:szCs w:val="24"/>
              </w:rPr>
            </w:pPr>
            <w:r>
              <w:rPr>
                <w:rFonts w:cs="Times New Roman"/>
                <w:color w:val="000000" w:themeColor="text1"/>
                <w:szCs w:val="24"/>
              </w:rPr>
              <w:t>（2）环境保护工作日常管理</w:t>
            </w:r>
          </w:p>
          <w:p>
            <w:pPr>
              <w:autoSpaceDE w:val="0"/>
              <w:autoSpaceDN w:val="0"/>
              <w:adjustRightInd w:val="0"/>
              <w:spacing w:line="360" w:lineRule="auto"/>
              <w:ind w:firstLine="480" w:firstLineChars="200"/>
              <w:jc w:val="left"/>
              <w:rPr>
                <w:rFonts w:cs="Times New Roman"/>
                <w:color w:val="000000" w:themeColor="text1"/>
                <w:szCs w:val="24"/>
              </w:rPr>
            </w:pPr>
            <w:r>
              <w:rPr>
                <w:rFonts w:cs="Times New Roman"/>
                <w:color w:val="000000" w:themeColor="text1"/>
                <w:szCs w:val="24"/>
              </w:rPr>
              <w:t>把环境保护工作纳入日常生产活动的全过程中，实现全过程、全天侯、全员的环保管理，积极开展环境保护宣传教育活动，普及环保知识，提高全员的环保意识。对生产中产生的“三废”进行回收或处理，防止资源浪费和环境污染，对暂时不能利用而须转移给其它单位利用的三废，必须由公司环保监督领导批准，防止污染转移造成污染事故；开展节水减污活动，采取一水多用，循环使用，提高水的综合利用率；在生产过程中，要加强检查，减少跑、冒、滴、漏现象。对检修中清洗出的污染物要妥善收集和处理，防止二次污染。对检修中拆卸的受污染的设备材料要进行处理，避免造成污染转移；在生产中，由于突发性事件造成排污异常，要立即采取应急措施，防止污染扩大，并及时向公司环保监督组汇报，以便做好协调工作。</w:t>
            </w:r>
          </w:p>
          <w:p>
            <w:pPr>
              <w:autoSpaceDE w:val="0"/>
              <w:autoSpaceDN w:val="0"/>
              <w:adjustRightInd w:val="0"/>
              <w:spacing w:line="360" w:lineRule="auto"/>
              <w:ind w:firstLine="480" w:firstLineChars="200"/>
              <w:jc w:val="left"/>
              <w:rPr>
                <w:rFonts w:cs="Times New Roman"/>
                <w:color w:val="000000" w:themeColor="text1"/>
                <w:szCs w:val="24"/>
              </w:rPr>
            </w:pPr>
            <w:r>
              <w:rPr>
                <w:rFonts w:cs="Times New Roman"/>
                <w:color w:val="000000" w:themeColor="text1"/>
                <w:szCs w:val="24"/>
              </w:rPr>
              <w:t>（3）环境管理台账</w:t>
            </w:r>
          </w:p>
          <w:p>
            <w:pPr>
              <w:autoSpaceDE w:val="0"/>
              <w:autoSpaceDN w:val="0"/>
              <w:adjustRightInd w:val="0"/>
              <w:spacing w:line="360" w:lineRule="auto"/>
              <w:ind w:firstLine="480" w:firstLineChars="200"/>
              <w:jc w:val="left"/>
              <w:rPr>
                <w:rFonts w:cs="Times New Roman"/>
                <w:color w:val="000000" w:themeColor="text1"/>
                <w:szCs w:val="24"/>
              </w:rPr>
            </w:pPr>
            <w:r>
              <w:rPr>
                <w:rFonts w:cs="Times New Roman"/>
                <w:color w:val="000000" w:themeColor="text1"/>
                <w:szCs w:val="24"/>
              </w:rPr>
              <w:t>项目运营期间应设置环境管理台账，包括主要污染源汇总表、环保设施运行记录、环境事件台账、非常规“三废”排放记录、外排废水监测台账、外排废气监测台账、噪声监测台账、固废台账等与环境保护相关的记录。</w:t>
            </w:r>
          </w:p>
          <w:p>
            <w:pPr>
              <w:pStyle w:val="8"/>
            </w:pPr>
            <w:r>
              <w:t>环境管理要求</w:t>
            </w:r>
          </w:p>
          <w:p>
            <w:pPr>
              <w:spacing w:line="360" w:lineRule="auto"/>
              <w:ind w:firstLine="480" w:firstLineChars="200"/>
              <w:rPr>
                <w:rFonts w:cs="Times New Roman"/>
              </w:rPr>
            </w:pPr>
            <w:r>
              <w:rPr>
                <w:rFonts w:cs="Times New Roman"/>
              </w:rPr>
              <w:t>环境管理要求见下表所示。</w:t>
            </w:r>
          </w:p>
          <w:p>
            <w:pPr>
              <w:autoSpaceDE w:val="0"/>
              <w:autoSpaceDN w:val="0"/>
              <w:adjustRightInd w:val="0"/>
              <w:ind w:firstLine="422" w:firstLineChars="200"/>
              <w:jc w:val="center"/>
              <w:rPr>
                <w:rFonts w:cs="Times New Roman"/>
                <w:b/>
                <w:sz w:val="21"/>
              </w:rPr>
            </w:pPr>
            <w:r>
              <w:rPr>
                <w:rFonts w:cs="Times New Roman"/>
                <w:b/>
                <w:sz w:val="21"/>
              </w:rPr>
              <w:t>表7.2-</w:t>
            </w:r>
            <w:r>
              <w:rPr>
                <w:rFonts w:hint="eastAsia" w:cs="Times New Roman"/>
                <w:b/>
                <w:sz w:val="21"/>
              </w:rPr>
              <w:t>41</w:t>
            </w:r>
            <w:r>
              <w:rPr>
                <w:rFonts w:cs="Times New Roman"/>
                <w:b/>
                <w:sz w:val="21"/>
              </w:rPr>
              <w:t xml:space="preserve">  环境管理工作要求</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pStyle w:val="15"/>
                    <w:keepNext w:val="0"/>
                    <w:keepLines w:val="0"/>
                    <w:pageBreakBefore w:val="0"/>
                    <w:widowControl w:val="0"/>
                    <w:kinsoku/>
                    <w:wordWrap/>
                    <w:overflowPunct/>
                    <w:topLinePunct w:val="0"/>
                    <w:bidi w:val="0"/>
                    <w:adjustRightInd w:val="0"/>
                    <w:snapToGrid w:val="0"/>
                    <w:spacing w:line="240" w:lineRule="auto"/>
                    <w:textAlignment w:val="auto"/>
                    <w:rPr>
                      <w:rFonts w:cs="Times New Roman" w:eastAsiaTheme="minorEastAsia"/>
                      <w:b w:val="0"/>
                      <w:kern w:val="0"/>
                      <w:sz w:val="21"/>
                      <w:szCs w:val="21"/>
                    </w:rPr>
                  </w:pPr>
                  <w:r>
                    <w:rPr>
                      <w:rFonts w:cs="Times New Roman" w:eastAsiaTheme="minorEastAsia"/>
                      <w:b w:val="0"/>
                      <w:kern w:val="0"/>
                      <w:sz w:val="21"/>
                      <w:szCs w:val="21"/>
                    </w:rPr>
                    <w:t>阶段</w:t>
                  </w:r>
                </w:p>
              </w:tc>
              <w:tc>
                <w:tcPr>
                  <w:tcW w:w="7667" w:type="dxa"/>
                  <w:vAlign w:val="center"/>
                </w:tcPr>
                <w:p>
                  <w:pPr>
                    <w:pStyle w:val="15"/>
                    <w:keepNext w:val="0"/>
                    <w:keepLines w:val="0"/>
                    <w:pageBreakBefore w:val="0"/>
                    <w:widowControl w:val="0"/>
                    <w:kinsoku/>
                    <w:wordWrap/>
                    <w:overflowPunct/>
                    <w:topLinePunct w:val="0"/>
                    <w:bidi w:val="0"/>
                    <w:adjustRightInd w:val="0"/>
                    <w:snapToGrid w:val="0"/>
                    <w:spacing w:line="240" w:lineRule="auto"/>
                    <w:textAlignment w:val="auto"/>
                    <w:rPr>
                      <w:rFonts w:cs="Times New Roman" w:eastAsiaTheme="minorEastAsia"/>
                      <w:b w:val="0"/>
                      <w:kern w:val="0"/>
                      <w:sz w:val="21"/>
                      <w:szCs w:val="21"/>
                    </w:rPr>
                  </w:pPr>
                  <w:r>
                    <w:rPr>
                      <w:rFonts w:cs="Times New Roman" w:eastAsiaTheme="minorEastAsia"/>
                      <w:b w:val="0"/>
                      <w:kern w:val="0"/>
                      <w:sz w:val="21"/>
                      <w:szCs w:val="21"/>
                    </w:rPr>
                    <w:t>环境管理工作主要内容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cs="Times New Roman"/>
                      <w:kern w:val="0"/>
                      <w:sz w:val="21"/>
                    </w:rPr>
                  </w:pPr>
                  <w:r>
                    <w:rPr>
                      <w:rFonts w:cs="Times New Roman"/>
                      <w:kern w:val="0"/>
                      <w:sz w:val="21"/>
                    </w:rPr>
                    <w:t>试运行阶段</w:t>
                  </w:r>
                </w:p>
              </w:tc>
              <w:tc>
                <w:tcPr>
                  <w:tcW w:w="7667" w:type="dxa"/>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1、检查施工项目是否按照设计、环评规定的环保措施全部完工；</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2、做好环保设施运行记录；</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3、向环保部门和当地主管部门提交试运行申请报；</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4、环保部门和主管部门对环保工种进行现场检查；</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5、记录各项环保设施的试运转状况，针对出现问题提出完善修改意见；</w:t>
                  </w:r>
                </w:p>
                <w:p>
                  <w:pPr>
                    <w:pStyle w:val="15"/>
                    <w:keepNext w:val="0"/>
                    <w:keepLines w:val="0"/>
                    <w:pageBreakBefore w:val="0"/>
                    <w:widowControl w:val="0"/>
                    <w:kinsoku/>
                    <w:wordWrap/>
                    <w:overflowPunct/>
                    <w:topLinePunct w:val="0"/>
                    <w:bidi w:val="0"/>
                    <w:adjustRightInd w:val="0"/>
                    <w:snapToGrid w:val="0"/>
                    <w:spacing w:line="240" w:lineRule="auto"/>
                    <w:jc w:val="left"/>
                    <w:textAlignment w:val="auto"/>
                    <w:rPr>
                      <w:rFonts w:cs="Times New Roman" w:eastAsiaTheme="minorEastAsia"/>
                      <w:b w:val="0"/>
                      <w:kern w:val="0"/>
                      <w:sz w:val="21"/>
                      <w:szCs w:val="21"/>
                    </w:rPr>
                  </w:pPr>
                  <w:r>
                    <w:rPr>
                      <w:rFonts w:cs="Times New Roman" w:eastAsiaTheme="minorEastAsia"/>
                      <w:b w:val="0"/>
                      <w:kern w:val="0"/>
                      <w:sz w:val="21"/>
                      <w:szCs w:val="21"/>
                    </w:rPr>
                    <w:t>6、总结试运转的经验，健全前期的各项管理制度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cs="Times New Roman"/>
                      <w:kern w:val="0"/>
                      <w:sz w:val="21"/>
                    </w:rPr>
                  </w:pPr>
                  <w:r>
                    <w:rPr>
                      <w:rFonts w:cs="Times New Roman"/>
                      <w:kern w:val="0"/>
                      <w:sz w:val="21"/>
                    </w:rPr>
                    <w:t>生产运行期</w:t>
                  </w:r>
                </w:p>
              </w:tc>
              <w:tc>
                <w:tcPr>
                  <w:tcW w:w="7667" w:type="dxa"/>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1、严格执行各项生产及环境管理制度，保证生产的正常进行；</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2、设立环保设施运行卡，对废气处理设施、危险废物贮存间等环保设施定期进行检查、维护，做到勤查、勤记、勤养护，按照监测计划定期组织进行全厂的污染源监测，对不达标环保设施立即寻找原因，及时处理；</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3、重视群众监督作用，提高企业职工环境意识，鼓励职工及外部人员对生产状况提出意见，并通过积极吸收宝贵意见，提高企业环境管理水平；</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4、建立有效的污染事故防范体系，建立一套严格的日常检查制度。设置一套有效预防污染的运行控制程序，包括废气、废水、噪声、工业固废危险固废污染控制程序等；程序文件中明确规定运行控制的内容、各有关部门的职责，运行规程，控制参数，检查办法，纠正措施，出现异常和紧急情况时的处理程序；</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5、对于容易发生污染事故的场所应采取必要污染预防措施。</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6、做好排污口规范化建设；</w:t>
                  </w:r>
                </w:p>
                <w:p>
                  <w:pPr>
                    <w:pStyle w:val="15"/>
                    <w:keepNext w:val="0"/>
                    <w:keepLines w:val="0"/>
                    <w:pageBreakBefore w:val="0"/>
                    <w:widowControl w:val="0"/>
                    <w:kinsoku/>
                    <w:wordWrap/>
                    <w:overflowPunct/>
                    <w:topLinePunct w:val="0"/>
                    <w:bidi w:val="0"/>
                    <w:adjustRightInd w:val="0"/>
                    <w:snapToGrid w:val="0"/>
                    <w:spacing w:line="240" w:lineRule="auto"/>
                    <w:jc w:val="left"/>
                    <w:textAlignment w:val="auto"/>
                    <w:rPr>
                      <w:rFonts w:cs="Times New Roman" w:eastAsiaTheme="minorEastAsia"/>
                      <w:b w:val="0"/>
                      <w:kern w:val="0"/>
                      <w:sz w:val="21"/>
                      <w:szCs w:val="21"/>
                    </w:rPr>
                  </w:pPr>
                  <w:r>
                    <w:rPr>
                      <w:rFonts w:cs="Times New Roman" w:eastAsiaTheme="minorEastAsia"/>
                      <w:b w:val="0"/>
                      <w:kern w:val="0"/>
                      <w:sz w:val="21"/>
                      <w:szCs w:val="21"/>
                    </w:rPr>
                    <w:t>7、积极配合环保部门的检查、验收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cs="Times New Roman"/>
                      <w:kern w:val="0"/>
                      <w:sz w:val="21"/>
                    </w:rPr>
                  </w:pPr>
                  <w:r>
                    <w:rPr>
                      <w:rFonts w:cs="Times New Roman"/>
                      <w:kern w:val="0"/>
                      <w:sz w:val="21"/>
                    </w:rPr>
                    <w:t>信息反馈</w:t>
                  </w:r>
                </w:p>
              </w:tc>
              <w:tc>
                <w:tcPr>
                  <w:tcW w:w="7667" w:type="dxa"/>
                  <w:vAlign w:val="center"/>
                </w:tcPr>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1、建立奖惩制度，保证环保设施正常运转；</w:t>
                  </w:r>
                </w:p>
                <w:p>
                  <w:pPr>
                    <w:keepNext w:val="0"/>
                    <w:keepLines w:val="0"/>
                    <w:pageBreakBefore w:val="0"/>
                    <w:widowControl w:val="0"/>
                    <w:kinsoku/>
                    <w:wordWrap/>
                    <w:overflowPunct/>
                    <w:topLinePunct w:val="0"/>
                    <w:autoSpaceDE w:val="0"/>
                    <w:autoSpaceDN w:val="0"/>
                    <w:bidi w:val="0"/>
                    <w:adjustRightInd w:val="0"/>
                    <w:snapToGrid w:val="0"/>
                    <w:jc w:val="left"/>
                    <w:textAlignment w:val="auto"/>
                    <w:rPr>
                      <w:rFonts w:cs="Times New Roman"/>
                      <w:kern w:val="0"/>
                      <w:sz w:val="21"/>
                    </w:rPr>
                  </w:pPr>
                  <w:r>
                    <w:rPr>
                      <w:rFonts w:cs="Times New Roman"/>
                      <w:kern w:val="0"/>
                      <w:sz w:val="21"/>
                    </w:rPr>
                    <w:t>2、归纳整理监测数据，技术部配合进行工艺改进；</w:t>
                  </w:r>
                </w:p>
                <w:p>
                  <w:pPr>
                    <w:pStyle w:val="15"/>
                    <w:keepNext w:val="0"/>
                    <w:keepLines w:val="0"/>
                    <w:pageBreakBefore w:val="0"/>
                    <w:widowControl w:val="0"/>
                    <w:kinsoku/>
                    <w:wordWrap/>
                    <w:overflowPunct/>
                    <w:topLinePunct w:val="0"/>
                    <w:bidi w:val="0"/>
                    <w:adjustRightInd w:val="0"/>
                    <w:snapToGrid w:val="0"/>
                    <w:spacing w:line="240" w:lineRule="auto"/>
                    <w:jc w:val="left"/>
                    <w:textAlignment w:val="auto"/>
                    <w:rPr>
                      <w:rFonts w:cs="Times New Roman" w:eastAsiaTheme="minorEastAsia"/>
                      <w:b w:val="0"/>
                      <w:kern w:val="0"/>
                      <w:sz w:val="21"/>
                      <w:szCs w:val="21"/>
                    </w:rPr>
                  </w:pPr>
                  <w:r>
                    <w:rPr>
                      <w:rFonts w:cs="Times New Roman" w:eastAsiaTheme="minorEastAsia"/>
                      <w:b w:val="0"/>
                      <w:kern w:val="0"/>
                      <w:sz w:val="21"/>
                      <w:szCs w:val="21"/>
                    </w:rPr>
                    <w:t>3、配合上级环保部门的检查验收。</w:t>
                  </w:r>
                </w:p>
              </w:tc>
            </w:tr>
          </w:tbl>
          <w:p>
            <w:pPr>
              <w:pStyle w:val="8"/>
            </w:pPr>
            <w:r>
              <w:t>环境监测</w:t>
            </w:r>
          </w:p>
          <w:p>
            <w:pPr>
              <w:autoSpaceDE w:val="0"/>
              <w:autoSpaceDN w:val="0"/>
              <w:adjustRightInd w:val="0"/>
              <w:spacing w:line="360" w:lineRule="auto"/>
              <w:ind w:firstLine="480" w:firstLineChars="200"/>
              <w:rPr>
                <w:rFonts w:cs="Times New Roman"/>
                <w:kern w:val="0"/>
                <w:szCs w:val="24"/>
              </w:rPr>
            </w:pPr>
            <w:r>
              <w:rPr>
                <w:rFonts w:cs="Times New Roman"/>
                <w:kern w:val="0"/>
                <w:szCs w:val="24"/>
              </w:rPr>
              <w:t>（1）所有环保设施经过试运转竣工验收后，方可进入运营。</w:t>
            </w:r>
          </w:p>
          <w:p>
            <w:pPr>
              <w:autoSpaceDE w:val="0"/>
              <w:autoSpaceDN w:val="0"/>
              <w:adjustRightInd w:val="0"/>
              <w:spacing w:line="360" w:lineRule="auto"/>
              <w:ind w:firstLine="480" w:firstLineChars="200"/>
              <w:rPr>
                <w:rFonts w:cs="Times New Roman"/>
                <w:kern w:val="0"/>
                <w:szCs w:val="24"/>
              </w:rPr>
            </w:pPr>
            <w:r>
              <w:rPr>
                <w:rFonts w:cs="Times New Roman"/>
                <w:kern w:val="0"/>
                <w:szCs w:val="24"/>
              </w:rPr>
              <w:t>（2）运营期的环保问题由建设单位和企业业主负责。</w:t>
            </w:r>
          </w:p>
          <w:p>
            <w:pPr>
              <w:autoSpaceDE w:val="0"/>
              <w:autoSpaceDN w:val="0"/>
              <w:adjustRightInd w:val="0"/>
              <w:spacing w:line="360" w:lineRule="auto"/>
              <w:ind w:firstLine="480" w:firstLineChars="200"/>
              <w:rPr>
                <w:rFonts w:cs="Times New Roman"/>
                <w:kern w:val="0"/>
                <w:szCs w:val="24"/>
              </w:rPr>
            </w:pPr>
            <w:r>
              <w:rPr>
                <w:rFonts w:cs="Times New Roman"/>
                <w:kern w:val="0"/>
                <w:szCs w:val="24"/>
              </w:rPr>
              <w:t>（3）项目管理机构和企业必须保证所有环保设施的正常运行，并保证各类污染物达到国家的排放标准和管理要求。</w:t>
            </w:r>
          </w:p>
          <w:p>
            <w:pPr>
              <w:spacing w:line="360" w:lineRule="auto"/>
              <w:ind w:firstLine="480" w:firstLineChars="200"/>
              <w:rPr>
                <w:rFonts w:cs="Times New Roman"/>
                <w:szCs w:val="24"/>
              </w:rPr>
            </w:pPr>
            <w:r>
              <w:rPr>
                <w:rFonts w:cs="Times New Roman"/>
                <w:kern w:val="0"/>
                <w:szCs w:val="24"/>
              </w:rPr>
              <w:t>（4）</w:t>
            </w:r>
            <w:r>
              <w:rPr>
                <w:rFonts w:cs="Times New Roman"/>
                <w:szCs w:val="24"/>
              </w:rPr>
              <w:t>环境监测的目的主要是及时了解本企业污染源排放状况、环保设施运转状况及本企业对厂区周边大气、水、声环境影响情况，为企业环境管理提供依据。</w:t>
            </w:r>
            <w:r>
              <w:rPr>
                <w:rFonts w:cs="Times New Roman"/>
                <w:color w:val="000000"/>
                <w:szCs w:val="24"/>
              </w:rPr>
              <w:t>根据项目污染物排放特征及《排污单位自行监测技术指南 总则》（HJ 819-2017），</w:t>
            </w:r>
            <w:r>
              <w:rPr>
                <w:rFonts w:cs="Times New Roman"/>
                <w:szCs w:val="24"/>
              </w:rPr>
              <w:t>拟定的监测计划列于下表所示。</w:t>
            </w:r>
          </w:p>
          <w:p>
            <w:pPr>
              <w:autoSpaceDE w:val="0"/>
              <w:autoSpaceDN w:val="0"/>
              <w:adjustRightInd w:val="0"/>
              <w:ind w:firstLine="422" w:firstLineChars="200"/>
              <w:jc w:val="center"/>
              <w:rPr>
                <w:rFonts w:cs="Times New Roman"/>
                <w:b/>
                <w:sz w:val="21"/>
              </w:rPr>
            </w:pPr>
            <w:r>
              <w:rPr>
                <w:rFonts w:cs="Times New Roman"/>
                <w:b/>
                <w:sz w:val="21"/>
              </w:rPr>
              <w:t>表7.2-</w:t>
            </w:r>
            <w:r>
              <w:rPr>
                <w:rFonts w:hint="eastAsia" w:cs="Times New Roman"/>
                <w:b/>
                <w:sz w:val="21"/>
              </w:rPr>
              <w:t>42</w:t>
            </w:r>
            <w:r>
              <w:rPr>
                <w:rFonts w:cs="Times New Roman"/>
                <w:b/>
                <w:sz w:val="21"/>
              </w:rPr>
              <w:t xml:space="preserve">  污染源监测计划</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80"/>
              <w:gridCol w:w="603"/>
              <w:gridCol w:w="2950"/>
              <w:gridCol w:w="1864"/>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3"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监测计划</w:t>
                  </w:r>
                </w:p>
              </w:tc>
              <w:tc>
                <w:tcPr>
                  <w:tcW w:w="416"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项目</w:t>
                  </w:r>
                </w:p>
              </w:tc>
              <w:tc>
                <w:tcPr>
                  <w:tcW w:w="1777"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监测点位</w:t>
                  </w:r>
                </w:p>
              </w:tc>
              <w:tc>
                <w:tcPr>
                  <w:tcW w:w="1122"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监测指标</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33" w:type="pct"/>
                  <w:vMerge w:val="restart"/>
                  <w:tcBorders>
                    <w:top w:val="nil"/>
                    <w:left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污染源监测计划</w:t>
                  </w:r>
                </w:p>
              </w:tc>
              <w:tc>
                <w:tcPr>
                  <w:tcW w:w="416" w:type="pct"/>
                  <w:vMerge w:val="restart"/>
                  <w:tcBorders>
                    <w:top w:val="nil"/>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废气</w:t>
                  </w:r>
                </w:p>
              </w:tc>
              <w:tc>
                <w:tcPr>
                  <w:tcW w:w="1777" w:type="pct"/>
                  <w:tcBorders>
                    <w:top w:val="single" w:color="auto" w:sz="4" w:space="0"/>
                    <w:left w:val="nil"/>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预拌混凝土搅拌楼排气筒取样口</w:t>
                  </w:r>
                </w:p>
              </w:tc>
              <w:tc>
                <w:tcPr>
                  <w:tcW w:w="1122" w:type="pct"/>
                  <w:tcBorders>
                    <w:top w:val="single" w:color="auto" w:sz="4" w:space="0"/>
                    <w:left w:val="nil"/>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颗粒物</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每半年一次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3"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cs="Times New Roman"/>
                      <w:sz w:val="21"/>
                    </w:rPr>
                  </w:pPr>
                </w:p>
              </w:tc>
              <w:tc>
                <w:tcPr>
                  <w:tcW w:w="416" w:type="pct"/>
                  <w:vMerge w:val="continue"/>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cs="Times New Roman"/>
                      <w:sz w:val="21"/>
                    </w:rPr>
                  </w:pPr>
                </w:p>
              </w:tc>
              <w:tc>
                <w:tcPr>
                  <w:tcW w:w="1777"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厂界外无组织废气</w:t>
                  </w:r>
                </w:p>
              </w:tc>
              <w:tc>
                <w:tcPr>
                  <w:tcW w:w="1122"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颗粒物</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每半年一次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3"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cs="Times New Roman"/>
                      <w:sz w:val="21"/>
                    </w:rPr>
                  </w:pPr>
                </w:p>
              </w:tc>
              <w:tc>
                <w:tcPr>
                  <w:tcW w:w="416"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噪声</w:t>
                  </w:r>
                </w:p>
              </w:tc>
              <w:tc>
                <w:tcPr>
                  <w:tcW w:w="1777"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厂界外1m处</w:t>
                  </w:r>
                </w:p>
              </w:tc>
              <w:tc>
                <w:tcPr>
                  <w:tcW w:w="1122"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厂界噪声</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33"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jc w:val="left"/>
                    <w:textAlignment w:val="auto"/>
                    <w:rPr>
                      <w:rFonts w:cs="Times New Roman"/>
                      <w:sz w:val="21"/>
                    </w:rPr>
                  </w:pPr>
                </w:p>
              </w:tc>
              <w:tc>
                <w:tcPr>
                  <w:tcW w:w="416"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废水</w:t>
                  </w:r>
                </w:p>
              </w:tc>
              <w:tc>
                <w:tcPr>
                  <w:tcW w:w="1777"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生活废水排放口</w:t>
                  </w:r>
                </w:p>
              </w:tc>
              <w:tc>
                <w:tcPr>
                  <w:tcW w:w="1122"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PH、COD、BOD</w:t>
                  </w:r>
                  <w:r>
                    <w:rPr>
                      <w:rFonts w:cs="Times New Roman"/>
                      <w:sz w:val="21"/>
                      <w:vertAlign w:val="subscript"/>
                    </w:rPr>
                    <w:t>5</w:t>
                  </w:r>
                  <w:r>
                    <w:rPr>
                      <w:rFonts w:cs="Times New Roman"/>
                      <w:sz w:val="21"/>
                    </w:rPr>
                    <w:t>、</w:t>
                  </w:r>
                </w:p>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NH</w:t>
                  </w:r>
                  <w:r>
                    <w:rPr>
                      <w:rFonts w:cs="Times New Roman"/>
                      <w:sz w:val="21"/>
                      <w:vertAlign w:val="subscript"/>
                    </w:rPr>
                    <w:t>3</w:t>
                  </w:r>
                  <w:r>
                    <w:rPr>
                      <w:rFonts w:cs="Times New Roman"/>
                      <w:sz w:val="21"/>
                    </w:rPr>
                    <w:t>-N、SS</w:t>
                  </w:r>
                </w:p>
              </w:tc>
              <w:tc>
                <w:tcPr>
                  <w:tcW w:w="950" w:type="pct"/>
                  <w:tcBorders>
                    <w:top w:val="single" w:color="auto" w:sz="4" w:space="0"/>
                    <w:left w:val="nil"/>
                    <w:bottom w:val="single" w:color="auto" w:sz="4" w:space="0"/>
                    <w:right w:val="single" w:color="auto" w:sz="4" w:space="0"/>
                  </w:tcBorders>
                  <w:noWrap/>
                  <w:vAlign w:val="center"/>
                </w:tcPr>
                <w:p>
                  <w:pPr>
                    <w:keepNext w:val="0"/>
                    <w:keepLines w:val="0"/>
                    <w:pageBreakBefore w:val="0"/>
                    <w:kinsoku/>
                    <w:wordWrap/>
                    <w:overflowPunct/>
                    <w:topLinePunct w:val="0"/>
                    <w:autoSpaceDE/>
                    <w:autoSpaceDN/>
                    <w:bidi w:val="0"/>
                    <w:adjustRightInd/>
                    <w:snapToGrid/>
                    <w:jc w:val="center"/>
                    <w:textAlignment w:val="auto"/>
                    <w:rPr>
                      <w:rFonts w:cs="Times New Roman"/>
                      <w:sz w:val="21"/>
                    </w:rPr>
                  </w:pPr>
                  <w:r>
                    <w:rPr>
                      <w:rFonts w:cs="Times New Roman"/>
                      <w:sz w:val="21"/>
                    </w:rPr>
                    <w:t>每半年一次</w:t>
                  </w:r>
                </w:p>
              </w:tc>
            </w:tr>
          </w:tbl>
          <w:p>
            <w:pPr>
              <w:pStyle w:val="8"/>
            </w:pPr>
            <w:r>
              <w:t>排污口管理</w:t>
            </w:r>
          </w:p>
          <w:p>
            <w:pPr>
              <w:keepNext/>
              <w:autoSpaceDE w:val="0"/>
              <w:autoSpaceDN w:val="0"/>
              <w:adjustRightInd w:val="0"/>
              <w:spacing w:line="360" w:lineRule="auto"/>
              <w:ind w:firstLine="480" w:firstLineChars="200"/>
              <w:jc w:val="left"/>
              <w:rPr>
                <w:rFonts w:cs="Times New Roman"/>
                <w:szCs w:val="24"/>
              </w:rPr>
            </w:pPr>
            <w:r>
              <w:rPr>
                <w:rFonts w:cs="Times New Roman"/>
                <w:szCs w:val="24"/>
              </w:rPr>
              <w:t>（1）排污口规划管理</w:t>
            </w:r>
          </w:p>
          <w:p>
            <w:pPr>
              <w:keepNext/>
              <w:autoSpaceDE w:val="0"/>
              <w:autoSpaceDN w:val="0"/>
              <w:adjustRightInd w:val="0"/>
              <w:spacing w:line="360" w:lineRule="auto"/>
              <w:ind w:firstLine="480" w:firstLineChars="200"/>
              <w:jc w:val="left"/>
              <w:rPr>
                <w:rFonts w:cs="Times New Roman"/>
                <w:szCs w:val="24"/>
              </w:rPr>
            </w:pPr>
            <w:r>
              <w:rPr>
                <w:rFonts w:cs="Times New Roman"/>
                <w:szCs w:val="24"/>
              </w:rPr>
              <w:t>①废气排气筒规范化</w:t>
            </w:r>
          </w:p>
          <w:p>
            <w:pPr>
              <w:autoSpaceDE w:val="0"/>
              <w:autoSpaceDN w:val="0"/>
              <w:adjustRightInd w:val="0"/>
              <w:spacing w:line="360" w:lineRule="auto"/>
              <w:ind w:firstLine="480" w:firstLineChars="200"/>
              <w:jc w:val="left"/>
              <w:rPr>
                <w:rFonts w:cs="Times New Roman"/>
                <w:kern w:val="0"/>
                <w:szCs w:val="24"/>
              </w:rPr>
            </w:pPr>
            <w:r>
              <w:rPr>
                <w:rFonts w:cs="Times New Roman"/>
                <w:szCs w:val="24"/>
              </w:rPr>
              <w:t>废气处理设施进口和排气筒出口需安装符合</w:t>
            </w:r>
            <w:r>
              <w:rPr>
                <w:rFonts w:cs="Times New Roman"/>
                <w:kern w:val="0"/>
                <w:szCs w:val="24"/>
              </w:rPr>
              <w:t>合HJ/T 1-92 要求的采样固定位装置，并且按照《环境保护图形标志》（GB15562.1-1995）（GB15562.2-1995）的规定设置与之相适应的环境保护图形标志牌。环境保护图形标志牌设置位置应距污染物排放口或采样点较近且醒目处，并能长久保留。</w:t>
            </w:r>
          </w:p>
          <w:p>
            <w:pPr>
              <w:keepNext/>
              <w:autoSpaceDE w:val="0"/>
              <w:autoSpaceDN w:val="0"/>
              <w:adjustRightInd w:val="0"/>
              <w:spacing w:line="360" w:lineRule="auto"/>
              <w:ind w:firstLine="480" w:firstLineChars="200"/>
              <w:jc w:val="left"/>
              <w:rPr>
                <w:rFonts w:cs="Times New Roman"/>
                <w:kern w:val="0"/>
                <w:szCs w:val="24"/>
              </w:rPr>
            </w:pPr>
            <w:r>
              <w:rPr>
                <w:rFonts w:cs="Times New Roman"/>
                <w:szCs w:val="24"/>
              </w:rPr>
              <w:t>②</w:t>
            </w:r>
            <w:r>
              <w:rPr>
                <w:rFonts w:cs="Times New Roman"/>
                <w:kern w:val="0"/>
                <w:szCs w:val="24"/>
              </w:rPr>
              <w:t>固体废物堆放场所规范化</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本项目固体废物应按照固废处理相关规定加强管理，应加强暂存期间的管理，存放场应采取严格的防渗、防流失措施，并在存放场边界和进出口位置设置环保标志牌。环境保护图形标志牌设置位置应距固体废物贮存（堆放）场较近且醒目处，并能长久保留。危险废物贮存（堆放）场应设置警告性环境保护图形标志牌。</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（2）排污口立标管理</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应加强对清污分流的管理，规范污水排放口、废气排放口和噪声源均应按《环境保护图形标志——排放口（源）》（GB15562.1-1995）、《环境保护图形标志——固体废物贮存（处置）场》（GB15562.2-1995）的要求分别设置国家环保局统一制作的环境保护图形标志牌，并应注意以下几点：</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①排污口的环保图形标志牌应设置在靠近采样点的醒目处，标志牌设置高度为其上边缘距离地面约2米；</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②排污口和固体废物堆置场以设置方形标志牌为主，亦可根据情况设置立面或平面固定式标志牌；</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③废水排放口和固体废物堆场，应设置提示性环境保护图形标志牌。</w:t>
            </w:r>
          </w:p>
          <w:p>
            <w:pPr>
              <w:spacing w:line="360" w:lineRule="auto"/>
              <w:ind w:firstLine="480" w:firstLineChars="200"/>
              <w:rPr>
                <w:rFonts w:cs="Times New Roman"/>
                <w:kern w:val="0"/>
                <w:szCs w:val="24"/>
              </w:rPr>
            </w:pPr>
            <w:r>
              <w:rPr>
                <w:rFonts w:cs="Times New Roman"/>
                <w:kern w:val="0"/>
                <w:szCs w:val="24"/>
              </w:rPr>
              <w:t>排污口提示图形符号和排污口警告图形符号见下表所示。</w:t>
            </w:r>
          </w:p>
          <w:p>
            <w:pPr>
              <w:pStyle w:val="15"/>
              <w:spacing w:line="240" w:lineRule="auto"/>
              <w:rPr>
                <w:rFonts w:cs="Times New Roman" w:eastAsiaTheme="minorEastAsia"/>
                <w:sz w:val="21"/>
                <w:szCs w:val="21"/>
              </w:rPr>
            </w:pPr>
            <w:r>
              <w:rPr>
                <w:rFonts w:cs="Times New Roman" w:eastAsiaTheme="minorEastAsia"/>
                <w:sz w:val="21"/>
                <w:szCs w:val="21"/>
              </w:rPr>
              <w:t>表7.2-4</w:t>
            </w:r>
            <w:r>
              <w:rPr>
                <w:rFonts w:hint="eastAsia" w:cs="Times New Roman" w:eastAsiaTheme="minorEastAsia"/>
                <w:sz w:val="21"/>
                <w:szCs w:val="21"/>
              </w:rPr>
              <w:t>3</w:t>
            </w:r>
            <w:r>
              <w:rPr>
                <w:rFonts w:cs="Times New Roman" w:eastAsiaTheme="minorEastAsia"/>
                <w:sz w:val="21"/>
                <w:szCs w:val="21"/>
              </w:rPr>
              <w:t xml:space="preserve">  排污口提示图形符号</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2000"/>
              <w:gridCol w:w="1961"/>
              <w:gridCol w:w="1987"/>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t>排放口</w:t>
                  </w:r>
                </w:p>
              </w:tc>
              <w:tc>
                <w:tcPr>
                  <w:tcW w:w="2000"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t>废水排放口</w:t>
                  </w:r>
                </w:p>
              </w:tc>
              <w:tc>
                <w:tcPr>
                  <w:tcW w:w="1961"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t>废气排放口</w:t>
                  </w:r>
                </w:p>
              </w:tc>
              <w:tc>
                <w:tcPr>
                  <w:tcW w:w="1987"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t>噪声排放源</w:t>
                  </w:r>
                </w:p>
              </w:tc>
              <w:tc>
                <w:tcPr>
                  <w:tcW w:w="1931"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t>固体废物提示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t>图形符号</w:t>
                  </w:r>
                </w:p>
              </w:tc>
              <w:tc>
                <w:tcPr>
                  <w:tcW w:w="2000"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drawing>
                      <wp:inline distT="0" distB="0" distL="0" distR="0">
                        <wp:extent cx="1132840" cy="1139825"/>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9" cstate="print"/>
                                <a:srcRect l="3124" r="7577" b="3681"/>
                                <a:stretch>
                                  <a:fillRect/>
                                </a:stretch>
                              </pic:blipFill>
                              <pic:spPr>
                                <a:xfrm>
                                  <a:off x="0" y="0"/>
                                  <a:ext cx="1132840" cy="1139825"/>
                                </a:xfrm>
                                <a:prstGeom prst="rect">
                                  <a:avLst/>
                                </a:prstGeom>
                                <a:noFill/>
                                <a:ln w="9525">
                                  <a:noFill/>
                                  <a:miter lim="800000"/>
                                  <a:headEnd/>
                                  <a:tailEnd/>
                                </a:ln>
                              </pic:spPr>
                            </pic:pic>
                          </a:graphicData>
                        </a:graphic>
                      </wp:inline>
                    </w:drawing>
                  </w:r>
                </w:p>
              </w:tc>
              <w:tc>
                <w:tcPr>
                  <w:tcW w:w="1961"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drawing>
                      <wp:inline distT="0" distB="0" distL="0" distR="0">
                        <wp:extent cx="1107440" cy="1122045"/>
                        <wp:effectExtent l="1905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30" cstate="print"/>
                                <a:srcRect/>
                                <a:stretch>
                                  <a:fillRect/>
                                </a:stretch>
                              </pic:blipFill>
                              <pic:spPr>
                                <a:xfrm>
                                  <a:off x="0" y="0"/>
                                  <a:ext cx="1107440" cy="1122045"/>
                                </a:xfrm>
                                <a:prstGeom prst="rect">
                                  <a:avLst/>
                                </a:prstGeom>
                                <a:noFill/>
                                <a:ln w="9525">
                                  <a:noFill/>
                                  <a:miter lim="800000"/>
                                  <a:headEnd/>
                                  <a:tailEnd/>
                                </a:ln>
                              </pic:spPr>
                            </pic:pic>
                          </a:graphicData>
                        </a:graphic>
                      </wp:inline>
                    </w:drawing>
                  </w:r>
                </w:p>
              </w:tc>
              <w:tc>
                <w:tcPr>
                  <w:tcW w:w="1987"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drawing>
                      <wp:inline distT="0" distB="0" distL="0" distR="0">
                        <wp:extent cx="1116330" cy="1154430"/>
                        <wp:effectExtent l="19050" t="0" r="762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noChangeArrowheads="1"/>
                                </pic:cNvPicPr>
                              </pic:nvPicPr>
                              <pic:blipFill>
                                <a:blip r:embed="rId31" cstate="print"/>
                                <a:srcRect/>
                                <a:stretch>
                                  <a:fillRect/>
                                </a:stretch>
                              </pic:blipFill>
                              <pic:spPr>
                                <a:xfrm>
                                  <a:off x="0" y="0"/>
                                  <a:ext cx="1116330" cy="1154430"/>
                                </a:xfrm>
                                <a:prstGeom prst="rect">
                                  <a:avLst/>
                                </a:prstGeom>
                                <a:noFill/>
                                <a:ln w="9525">
                                  <a:noFill/>
                                  <a:miter lim="800000"/>
                                  <a:headEnd/>
                                  <a:tailEnd/>
                                </a:ln>
                              </pic:spPr>
                            </pic:pic>
                          </a:graphicData>
                        </a:graphic>
                      </wp:inline>
                    </w:drawing>
                  </w:r>
                </w:p>
              </w:tc>
              <w:tc>
                <w:tcPr>
                  <w:tcW w:w="1931" w:type="dxa"/>
                  <w:vAlign w:val="center"/>
                </w:tcPr>
                <w:p>
                  <w:pPr>
                    <w:pStyle w:val="15"/>
                    <w:rPr>
                      <w:rFonts w:cs="Times New Roman" w:eastAsiaTheme="minorEastAsia"/>
                      <w:b w:val="0"/>
                      <w:kern w:val="0"/>
                      <w:sz w:val="21"/>
                      <w:szCs w:val="21"/>
                    </w:rPr>
                  </w:pPr>
                  <w:r>
                    <w:rPr>
                      <w:rFonts w:cs="Times New Roman" w:eastAsiaTheme="minorEastAsia"/>
                      <w:b w:val="0"/>
                      <w:kern w:val="0"/>
                      <w:sz w:val="21"/>
                      <w:szCs w:val="21"/>
                    </w:rPr>
                    <w:drawing>
                      <wp:inline distT="0" distB="0" distL="0" distR="0">
                        <wp:extent cx="1088390" cy="1102360"/>
                        <wp:effectExtent l="1905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32" cstate="print"/>
                                <a:srcRect/>
                                <a:stretch>
                                  <a:fillRect/>
                                </a:stretch>
                              </pic:blipFill>
                              <pic:spPr>
                                <a:xfrm>
                                  <a:off x="0" y="0"/>
                                  <a:ext cx="1088390" cy="1102360"/>
                                </a:xfrm>
                                <a:prstGeom prst="rect">
                                  <a:avLst/>
                                </a:prstGeom>
                                <a:noFill/>
                                <a:ln w="9525">
                                  <a:noFill/>
                                  <a:miter lim="800000"/>
                                  <a:headEnd/>
                                  <a:tailEnd/>
                                </a:ln>
                              </pic:spPr>
                            </pic:pic>
                          </a:graphicData>
                        </a:graphic>
                      </wp:inline>
                    </w:drawing>
                  </w:r>
                </w:p>
              </w:tc>
            </w:tr>
          </w:tbl>
          <w:p>
            <w:pPr>
              <w:pStyle w:val="15"/>
              <w:spacing w:line="240" w:lineRule="auto"/>
              <w:rPr>
                <w:rFonts w:cs="Times New Roman" w:eastAsiaTheme="minorEastAsia"/>
                <w:sz w:val="21"/>
                <w:szCs w:val="21"/>
              </w:rPr>
            </w:pPr>
            <w:r>
              <w:rPr>
                <w:rFonts w:cs="Times New Roman" w:eastAsiaTheme="minorEastAsia"/>
                <w:sz w:val="21"/>
                <w:szCs w:val="21"/>
              </w:rPr>
              <w:t>表7.2-4</w:t>
            </w:r>
            <w:r>
              <w:rPr>
                <w:rFonts w:hint="eastAsia" w:cs="Times New Roman" w:eastAsiaTheme="minorEastAsia"/>
                <w:sz w:val="21"/>
                <w:szCs w:val="21"/>
              </w:rPr>
              <w:t>4</w:t>
            </w:r>
            <w:r>
              <w:rPr>
                <w:rFonts w:cs="Times New Roman" w:eastAsiaTheme="minorEastAsia"/>
                <w:sz w:val="21"/>
                <w:szCs w:val="21"/>
              </w:rPr>
              <w:t xml:space="preserve">  </w:t>
            </w:r>
            <w:r>
              <w:rPr>
                <w:rFonts w:cs="Times New Roman" w:eastAsiaTheme="minorEastAsia"/>
                <w:kern w:val="0"/>
                <w:sz w:val="21"/>
                <w:szCs w:val="21"/>
              </w:rPr>
              <w:t>排放口警告图形符号</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
              <w:gridCol w:w="1657"/>
              <w:gridCol w:w="1625"/>
              <w:gridCol w:w="1590"/>
              <w:gridCol w:w="1480"/>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8"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t>排放口</w:t>
                  </w:r>
                </w:p>
              </w:tc>
              <w:tc>
                <w:tcPr>
                  <w:tcW w:w="1657"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t>废水排放口</w:t>
                  </w:r>
                </w:p>
              </w:tc>
              <w:tc>
                <w:tcPr>
                  <w:tcW w:w="1625"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t>废气排放口</w:t>
                  </w:r>
                </w:p>
              </w:tc>
              <w:tc>
                <w:tcPr>
                  <w:tcW w:w="1590"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t>噪声排放源</w:t>
                  </w:r>
                </w:p>
              </w:tc>
              <w:tc>
                <w:tcPr>
                  <w:tcW w:w="3022" w:type="dxa"/>
                  <w:gridSpan w:val="2"/>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t>固体废物提示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t>图形符号</w:t>
                  </w:r>
                </w:p>
              </w:tc>
              <w:tc>
                <w:tcPr>
                  <w:tcW w:w="1657"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drawing>
                      <wp:inline distT="0" distB="0" distL="0" distR="0">
                        <wp:extent cx="980440" cy="912495"/>
                        <wp:effectExtent l="1905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33" cstate="print"/>
                                <a:srcRect/>
                                <a:stretch>
                                  <a:fillRect/>
                                </a:stretch>
                              </pic:blipFill>
                              <pic:spPr>
                                <a:xfrm>
                                  <a:off x="0" y="0"/>
                                  <a:ext cx="980440" cy="912495"/>
                                </a:xfrm>
                                <a:prstGeom prst="rect">
                                  <a:avLst/>
                                </a:prstGeom>
                                <a:noFill/>
                                <a:ln w="9525">
                                  <a:noFill/>
                                  <a:miter lim="800000"/>
                                  <a:headEnd/>
                                  <a:tailEnd/>
                                </a:ln>
                              </pic:spPr>
                            </pic:pic>
                          </a:graphicData>
                        </a:graphic>
                      </wp:inline>
                    </w:drawing>
                  </w:r>
                </w:p>
              </w:tc>
              <w:tc>
                <w:tcPr>
                  <w:tcW w:w="1625"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drawing>
                      <wp:inline distT="0" distB="0" distL="0" distR="0">
                        <wp:extent cx="958215" cy="915670"/>
                        <wp:effectExtent l="1905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noChangeArrowheads="1"/>
                                </pic:cNvPicPr>
                              </pic:nvPicPr>
                              <pic:blipFill>
                                <a:blip r:embed="rId34" cstate="print"/>
                                <a:srcRect/>
                                <a:stretch>
                                  <a:fillRect/>
                                </a:stretch>
                              </pic:blipFill>
                              <pic:spPr>
                                <a:xfrm>
                                  <a:off x="0" y="0"/>
                                  <a:ext cx="958215" cy="915670"/>
                                </a:xfrm>
                                <a:prstGeom prst="rect">
                                  <a:avLst/>
                                </a:prstGeom>
                                <a:noFill/>
                                <a:ln w="9525">
                                  <a:noFill/>
                                  <a:miter lim="800000"/>
                                  <a:headEnd/>
                                  <a:tailEnd/>
                                </a:ln>
                              </pic:spPr>
                            </pic:pic>
                          </a:graphicData>
                        </a:graphic>
                      </wp:inline>
                    </w:drawing>
                  </w:r>
                </w:p>
              </w:tc>
              <w:tc>
                <w:tcPr>
                  <w:tcW w:w="1590"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drawing>
                      <wp:inline distT="0" distB="0" distL="0" distR="0">
                        <wp:extent cx="933450" cy="846455"/>
                        <wp:effectExtent l="1905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35" cstate="print"/>
                                <a:srcRect/>
                                <a:stretch>
                                  <a:fillRect/>
                                </a:stretch>
                              </pic:blipFill>
                              <pic:spPr>
                                <a:xfrm>
                                  <a:off x="0" y="0"/>
                                  <a:ext cx="933450" cy="846455"/>
                                </a:xfrm>
                                <a:prstGeom prst="rect">
                                  <a:avLst/>
                                </a:prstGeom>
                                <a:noFill/>
                                <a:ln w="9525">
                                  <a:noFill/>
                                  <a:miter lim="800000"/>
                                  <a:headEnd/>
                                  <a:tailEnd/>
                                </a:ln>
                              </pic:spPr>
                            </pic:pic>
                          </a:graphicData>
                        </a:graphic>
                      </wp:inline>
                    </w:drawing>
                  </w:r>
                </w:p>
              </w:tc>
              <w:tc>
                <w:tcPr>
                  <w:tcW w:w="667"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drawing>
                      <wp:inline distT="0" distB="0" distL="0" distR="0">
                        <wp:extent cx="847725" cy="1070610"/>
                        <wp:effectExtent l="19050" t="0" r="9525"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noChangeArrowheads="1"/>
                                </pic:cNvPicPr>
                              </pic:nvPicPr>
                              <pic:blipFill>
                                <a:blip r:embed="rId36" cstate="print"/>
                                <a:srcRect/>
                                <a:stretch>
                                  <a:fillRect/>
                                </a:stretch>
                              </pic:blipFill>
                              <pic:spPr>
                                <a:xfrm>
                                  <a:off x="0" y="0"/>
                                  <a:ext cx="847725" cy="1070610"/>
                                </a:xfrm>
                                <a:prstGeom prst="rect">
                                  <a:avLst/>
                                </a:prstGeom>
                                <a:noFill/>
                                <a:ln w="9525">
                                  <a:noFill/>
                                  <a:miter lim="800000"/>
                                  <a:headEnd/>
                                  <a:tailEnd/>
                                </a:ln>
                              </pic:spPr>
                            </pic:pic>
                          </a:graphicData>
                        </a:graphic>
                      </wp:inline>
                    </w:drawing>
                  </w:r>
                </w:p>
              </w:tc>
              <w:tc>
                <w:tcPr>
                  <w:tcW w:w="809" w:type="dxa"/>
                  <w:vAlign w:val="center"/>
                </w:tcPr>
                <w:p>
                  <w:pPr>
                    <w:pStyle w:val="15"/>
                    <w:spacing w:line="240" w:lineRule="auto"/>
                    <w:rPr>
                      <w:rFonts w:cs="Times New Roman" w:eastAsiaTheme="minorEastAsia"/>
                      <w:b w:val="0"/>
                      <w:kern w:val="0"/>
                      <w:sz w:val="21"/>
                      <w:szCs w:val="21"/>
                    </w:rPr>
                  </w:pPr>
                  <w:r>
                    <w:rPr>
                      <w:rFonts w:cs="Times New Roman" w:eastAsiaTheme="minorEastAsia"/>
                      <w:b w:val="0"/>
                      <w:kern w:val="0"/>
                      <w:sz w:val="21"/>
                      <w:szCs w:val="21"/>
                    </w:rPr>
                    <w:drawing>
                      <wp:inline distT="0" distB="0" distL="0" distR="0">
                        <wp:extent cx="899795" cy="1055370"/>
                        <wp:effectExtent l="19050" t="0" r="0"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noChangeArrowheads="1"/>
                                </pic:cNvPicPr>
                              </pic:nvPicPr>
                              <pic:blipFill>
                                <a:blip r:embed="rId37" cstate="print"/>
                                <a:srcRect/>
                                <a:stretch>
                                  <a:fillRect/>
                                </a:stretch>
                              </pic:blipFill>
                              <pic:spPr>
                                <a:xfrm>
                                  <a:off x="0" y="0"/>
                                  <a:ext cx="899795" cy="1055370"/>
                                </a:xfrm>
                                <a:prstGeom prst="rect">
                                  <a:avLst/>
                                </a:prstGeom>
                                <a:noFill/>
                                <a:ln w="9525">
                                  <a:noFill/>
                                  <a:miter lim="800000"/>
                                  <a:headEnd/>
                                  <a:tailEnd/>
                                </a:ln>
                              </pic:spPr>
                            </pic:pic>
                          </a:graphicData>
                        </a:graphic>
                      </wp:inline>
                    </w:drawing>
                  </w:r>
                </w:p>
              </w:tc>
            </w:tr>
          </w:tbl>
          <w:p>
            <w:pPr>
              <w:pStyle w:val="8"/>
            </w:pPr>
            <w:r>
              <w:t>环境监理</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为了落实项目各项环保措施和环境管理方案，对营运期配套的“三同时”落实情况实施全过程的监督管理，确保建设工程环境目标的实现，本项目应在设计、施工阶段委托具有环境工程监理资质的单位进行环境监理，完工后的环境监理报告作为工程竣工环保验收的依据。</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由业主委托具备工程环境监理资质的监理单位，在项目开工建设到竣工环保验收时段内，对项目环境保护工作实施全面的检查和技术监督，环境监理工作内容主要包括：废水处理措施监理、固体废物和危险废物处理措施监理、大气污染防治措施监理、噪声控制措施监理、环保工程“三同时”监理等。</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①废水的处理措施监理。对各类废水的管道设施进行监理，检查和监测是否彻底按质分流。</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②固体废物处理措施监理。对项目危险废物是否委托了有资质的单位处理、是否已签署了委托处理协议等进行监理。</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③大气污染防治措施监理。对项目废气处理设施建设过程和处理效果进行监理。</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④噪声控制措施监理。按照环评和设计要求对生产噪声进行防治，使其影响区域的噪声环境质量达到相应的标准。</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⑤环保工程“三同时”监理。按照设计文件和进度安排，监理环保工程建设是否符合“三同时”要求，污染源是否按照设计要求处理排放。</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⑥项目建设后期的环境监理，主要是由环境监理单位编制工程环境监理报告表，作为环保竣工验收资料。引入环境监理，是保证本项目各项环保措施落实的有效手段，对保证项目建设与周边环境有机的融合，减少各类污染物对周边环境的污染，都将起到重要的作用。</w:t>
            </w:r>
          </w:p>
          <w:p>
            <w:pPr>
              <w:pStyle w:val="8"/>
            </w:pPr>
            <w:r>
              <w:t>环境管理台账</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（1）记录内容及频次</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环境管理台账记录内容包括基本信息、生产设施运行管理信息、污染治理设施运行管理信息、监测记录信息及其他环境管理信息等，详细表格形式可参照《环境管理台账及排污许可证执行报告技术规范》（试行）附录A。</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①基本信息</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包括排污单位基本信息、生产设施基本信息、污染治理设施基本信息，1次/月；对于发生变化的基本信息，按照变化次数记录，1次/变化次数。</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②生产设施运行管理信息</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包括运行状态、生产负荷、产品产量、原辅料及燃料等；其中，运行状态、生产负荷按照生产班次记录，1次/班；产品产量：连续生产的，按照生产班次记录，1次/班；原辅料及燃料按照批次记录，1次/批次。</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③污染治理设施运行管理信息</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包括运行情况、主要药剂添加情况等，1次/班。</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④监测记录信息</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定期委托有资质的环境监测单位开展监测、记录并将监测报告存档备查。</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⑤其他环境管理信息</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废气无组织污染治理设施运行管理信息：包括名称、运行时间、维护次数、管理人员等，日常检查维护频次及情况等，按日记录，1次/日。</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（2）记录存储</w:t>
            </w:r>
          </w:p>
          <w:p>
            <w:pPr>
              <w:autoSpaceDE w:val="0"/>
              <w:autoSpaceDN w:val="0"/>
              <w:adjustRightInd w:val="0"/>
              <w:spacing w:line="360" w:lineRule="auto"/>
              <w:ind w:firstLine="480" w:firstLineChars="200"/>
              <w:jc w:val="left"/>
              <w:rPr>
                <w:rFonts w:cs="Times New Roman"/>
                <w:kern w:val="0"/>
                <w:szCs w:val="24"/>
              </w:rPr>
            </w:pPr>
            <w:r>
              <w:rPr>
                <w:rFonts w:cs="Times New Roman"/>
                <w:kern w:val="0"/>
                <w:szCs w:val="24"/>
              </w:rPr>
              <w:t>①纸质存储：应存放于保护袋、卷夹或保护盒等存储介质中；由专人签字、定点保存；应采取防光、防热、防潮、防细菌及防污染等措施；如有破损应随时修补，并留存备查；保存时间原则上不低于3年。</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②电子存储：应存放于电子存储介质中，并进行数据备份；可在排污许可管理信息平台填报并保存；由专人定期维护管理；保存时间原则上不低于3年。</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（3）排污许可证申请要求</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《排污许可管理办法（试行）》已于2018 年1 月10 日起施行，企业应当按照规定的时限申请并取得排污许可证，根据环境保护部发布的《固定污染源排污许可分类管理名录（2017 年版）》，到2020 年，建设单位排污单位必须持证排污，因此，本项目应在环评文件获批后立即申请排污许可，确保在投入生产前取得排污许可证。企业应当在全国排污许可证管理信息平台上填报并提交排污许可证申请，同时向核发环保部门提交通过全国排污许可证管理信息平台印制的书面申请材料。申请材料应当包括：</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一）排污许可证申请表，主要内容包括：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（二）自行监测方案，自行监测方案应当包括以下内容：监测点位及示意图、监测指标、监测频次；使用的监测分析方法、采样方法</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（三）由排污单位法定代表人或者主要负责人签字或者盖章的承诺书；</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（四）排污单位有关排污口规范化的情况说明；</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（五）建设项目环境影响评价文件审批文号，或者按照有关国家规定经地方人民政府依法处理、整顿规范并符合要求的相关证明材料；</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（六）排污许可证申请前信息公开情况说明表；</w:t>
            </w:r>
          </w:p>
          <w:p>
            <w:pPr>
              <w:autoSpaceDE w:val="0"/>
              <w:autoSpaceDN w:val="0"/>
              <w:adjustRightInd w:val="0"/>
              <w:snapToGrid w:val="0"/>
              <w:spacing w:line="360" w:lineRule="auto"/>
              <w:ind w:firstLine="480" w:firstLineChars="200"/>
              <w:jc w:val="left"/>
              <w:rPr>
                <w:rFonts w:cs="Times New Roman"/>
                <w:kern w:val="0"/>
                <w:szCs w:val="24"/>
              </w:rPr>
            </w:pPr>
            <w:r>
              <w:rPr>
                <w:rFonts w:cs="Times New Roman"/>
                <w:kern w:val="0"/>
                <w:szCs w:val="24"/>
              </w:rPr>
              <w:t>在填报排污许可证申请时，应承诺排污许可证申请材料是完整、真实和合法的；承诺按照排污许可证的规定排放污染物，落实排污许可证规定的环境管理要求，并由法定代表人或者主要负责人签字或者盖章。</w:t>
            </w:r>
          </w:p>
          <w:p>
            <w:pPr>
              <w:pStyle w:val="7"/>
              <w:rPr>
                <w:rFonts w:cs="Times New Roman" w:eastAsiaTheme="minorEastAsia"/>
              </w:rPr>
            </w:pPr>
            <w:r>
              <w:rPr>
                <w:rFonts w:cs="Times New Roman" w:eastAsiaTheme="minorEastAsia"/>
              </w:rPr>
              <w:t>环保投资估算</w:t>
            </w:r>
          </w:p>
          <w:p>
            <w:pPr>
              <w:adjustRightInd w:val="0"/>
              <w:snapToGrid w:val="0"/>
              <w:spacing w:line="360" w:lineRule="auto"/>
              <w:ind w:firstLine="480" w:firstLineChars="200"/>
              <w:rPr>
                <w:rFonts w:cs="Times New Roman"/>
                <w:color w:val="000000" w:themeColor="text1"/>
                <w:szCs w:val="24"/>
              </w:rPr>
            </w:pPr>
            <w:r>
              <w:rPr>
                <w:rFonts w:cs="Times New Roman"/>
                <w:color w:val="000000" w:themeColor="text1"/>
                <w:szCs w:val="24"/>
              </w:rPr>
              <w:t>本项目总投资为8002.48万元，其中环保投资约为109万元，环保投资占工程总投资的1.36%。为了便于环境保护主管部门对项目的环保验收以及日后生产的环境监督与环境管理，环保投资及评价拟定环保工程验收计划如下表。</w:t>
            </w:r>
          </w:p>
          <w:p>
            <w:pPr>
              <w:autoSpaceDE w:val="0"/>
              <w:autoSpaceDN w:val="0"/>
              <w:adjustRightInd w:val="0"/>
              <w:ind w:firstLine="422" w:firstLineChars="200"/>
              <w:jc w:val="center"/>
              <w:rPr>
                <w:rFonts w:cs="Times New Roman"/>
                <w:b/>
                <w:sz w:val="21"/>
              </w:rPr>
            </w:pPr>
            <w:r>
              <w:rPr>
                <w:rFonts w:cs="Times New Roman"/>
                <w:b/>
                <w:sz w:val="21"/>
              </w:rPr>
              <w:t>表7.2-4</w:t>
            </w:r>
            <w:r>
              <w:rPr>
                <w:rFonts w:hint="eastAsia" w:cs="Times New Roman"/>
                <w:b/>
                <w:sz w:val="21"/>
              </w:rPr>
              <w:t>5</w:t>
            </w:r>
            <w:r>
              <w:rPr>
                <w:rFonts w:cs="Times New Roman"/>
                <w:b/>
                <w:sz w:val="21"/>
              </w:rPr>
              <w:t xml:space="preserve">  本项目环保投资估算一览表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063"/>
              <w:gridCol w:w="1616"/>
              <w:gridCol w:w="3269"/>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23"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项目</w:t>
                  </w:r>
                </w:p>
              </w:tc>
              <w:tc>
                <w:tcPr>
                  <w:tcW w:w="97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污染源</w:t>
                  </w:r>
                </w:p>
              </w:tc>
              <w:tc>
                <w:tcPr>
                  <w:tcW w:w="196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污染处理措施</w:t>
                  </w:r>
                </w:p>
              </w:tc>
              <w:tc>
                <w:tcPr>
                  <w:tcW w:w="93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估算投资额</w:t>
                  </w:r>
                </w:p>
                <w:p>
                  <w:pPr>
                    <w:adjustRightInd w:val="0"/>
                    <w:snapToGrid w:val="0"/>
                    <w:jc w:val="center"/>
                    <w:rPr>
                      <w:rFonts w:cs="Times New Roman"/>
                      <w:sz w:val="21"/>
                    </w:rPr>
                  </w:pPr>
                  <w:r>
                    <w:rPr>
                      <w:rFonts w:cs="Times New Roman"/>
                      <w:sz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83" w:type="pct"/>
                  <w:vMerge w:val="restart"/>
                  <w:tcBorders>
                    <w:top w:val="nil"/>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营运期</w:t>
                  </w:r>
                </w:p>
              </w:tc>
              <w:tc>
                <w:tcPr>
                  <w:tcW w:w="640" w:type="pct"/>
                  <w:vMerge w:val="restart"/>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cs="Times New Roman"/>
                      <w:sz w:val="21"/>
                    </w:rPr>
                    <w:t>废气处理</w:t>
                  </w:r>
                </w:p>
              </w:tc>
              <w:tc>
                <w:tcPr>
                  <w:tcW w:w="973"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cs="Times New Roman"/>
                      <w:sz w:val="21"/>
                    </w:rPr>
                    <w:t>混凝土原料筒仓</w:t>
                  </w:r>
                </w:p>
              </w:tc>
              <w:tc>
                <w:tcPr>
                  <w:tcW w:w="1969"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cs="Times New Roman"/>
                      <w:sz w:val="21"/>
                    </w:rPr>
                    <w:t>全封闭生产区、筒仓各配置一台脉冲除尘器</w:t>
                  </w:r>
                  <w:r>
                    <w:rPr>
                      <w:rFonts w:hint="eastAsia" w:cs="Times New Roman"/>
                      <w:sz w:val="21"/>
                    </w:rPr>
                    <w:t>（筒仓自带脉冲除尘器）</w:t>
                  </w:r>
                </w:p>
              </w:tc>
              <w:tc>
                <w:tcPr>
                  <w:tcW w:w="935"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hint="eastAsia" w:cs="Times New Roman"/>
                      <w:sz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63" w:type="dxa"/>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973"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cs="Times New Roman"/>
                      <w:sz w:val="21"/>
                    </w:rPr>
                    <w:t>混凝土搅拌站</w:t>
                  </w:r>
                </w:p>
              </w:tc>
              <w:tc>
                <w:tcPr>
                  <w:tcW w:w="1969" w:type="pct"/>
                  <w:tcBorders>
                    <w:top w:val="single" w:color="auto" w:sz="4" w:space="0"/>
                    <w:left w:val="nil"/>
                    <w:bottom w:val="single" w:color="auto" w:sz="4" w:space="0"/>
                    <w:right w:val="single" w:color="auto" w:sz="4" w:space="0"/>
                  </w:tcBorders>
                  <w:vAlign w:val="center"/>
                </w:tcPr>
                <w:p>
                  <w:pPr>
                    <w:widowControl/>
                    <w:adjustRightInd w:val="0"/>
                    <w:snapToGrid w:val="0"/>
                    <w:rPr>
                      <w:rFonts w:cs="Times New Roman"/>
                      <w:sz w:val="21"/>
                    </w:rPr>
                  </w:pPr>
                  <w:r>
                    <w:rPr>
                      <w:rFonts w:cs="Times New Roman"/>
                      <w:sz w:val="21"/>
                    </w:rPr>
                    <w:t>全封闭生产区，搅拌站各配置一台脉冲除尘器（两台搅拌站）+30m排气筒（搅拌站自带脉冲除尘器，排气筒需新建）</w:t>
                  </w:r>
                </w:p>
              </w:tc>
              <w:tc>
                <w:tcPr>
                  <w:tcW w:w="935"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cs="Times New Roman"/>
                      <w:sz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63" w:type="dxa"/>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973"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hint="eastAsia" w:cs="Times New Roman"/>
                      <w:sz w:val="21"/>
                    </w:rPr>
                    <w:t>食堂油烟</w:t>
                  </w:r>
                </w:p>
              </w:tc>
              <w:tc>
                <w:tcPr>
                  <w:tcW w:w="1969"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hint="eastAsia" w:cs="Times New Roman"/>
                      <w:sz w:val="21"/>
                    </w:rPr>
                    <w:t>油烟净化器+15排气筒</w:t>
                  </w:r>
                </w:p>
              </w:tc>
              <w:tc>
                <w:tcPr>
                  <w:tcW w:w="935"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hint="eastAsia" w:cs="Times New Roman"/>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63" w:type="dxa"/>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973"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cs="Times New Roman"/>
                      <w:sz w:val="21"/>
                    </w:rPr>
                    <w:t>厂区</w:t>
                  </w:r>
                </w:p>
              </w:tc>
              <w:tc>
                <w:tcPr>
                  <w:tcW w:w="196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地面硬化、洒水降尘设备、</w:t>
                  </w:r>
                  <w:r>
                    <w:rPr>
                      <w:rFonts w:cs="Times New Roman"/>
                      <w:color w:val="000000"/>
                      <w:sz w:val="21"/>
                    </w:rPr>
                    <w:t>装卸时采用移动式软管对石料洒水防尘措施</w:t>
                  </w:r>
                </w:p>
              </w:tc>
              <w:tc>
                <w:tcPr>
                  <w:tcW w:w="935" w:type="pct"/>
                  <w:tcBorders>
                    <w:top w:val="single" w:color="auto" w:sz="4" w:space="0"/>
                    <w:left w:val="nil"/>
                    <w:bottom w:val="single" w:color="auto" w:sz="4" w:space="0"/>
                    <w:right w:val="single" w:color="auto" w:sz="4" w:space="0"/>
                  </w:tcBorders>
                  <w:vAlign w:val="center"/>
                </w:tcPr>
                <w:p>
                  <w:pPr>
                    <w:widowControl/>
                    <w:adjustRightInd w:val="0"/>
                    <w:snapToGrid w:val="0"/>
                    <w:jc w:val="center"/>
                    <w:rPr>
                      <w:rFonts w:cs="Times New Roman"/>
                      <w:sz w:val="21"/>
                    </w:rPr>
                  </w:pPr>
                  <w:r>
                    <w:rPr>
                      <w:rFonts w:cs="Times New Roman"/>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640" w:type="pct"/>
                  <w:vMerge w:val="restart"/>
                  <w:tcBorders>
                    <w:top w:val="nil"/>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水处理</w:t>
                  </w:r>
                </w:p>
              </w:tc>
              <w:tc>
                <w:tcPr>
                  <w:tcW w:w="97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生产废水</w:t>
                  </w:r>
                </w:p>
              </w:tc>
              <w:tc>
                <w:tcPr>
                  <w:tcW w:w="196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hint="eastAsia" w:cs="Times New Roman"/>
                      <w:sz w:val="21"/>
                    </w:rPr>
                    <w:t>废水回收处理系统</w:t>
                  </w:r>
                </w:p>
              </w:tc>
              <w:tc>
                <w:tcPr>
                  <w:tcW w:w="93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63" w:type="dxa"/>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97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hint="eastAsia" w:cs="Times New Roman"/>
                      <w:sz w:val="21"/>
                    </w:rPr>
                    <w:t>初期雨水</w:t>
                  </w:r>
                </w:p>
              </w:tc>
              <w:tc>
                <w:tcPr>
                  <w:tcW w:w="196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hint="eastAsia" w:cs="Times New Roman"/>
                      <w:sz w:val="21"/>
                    </w:rPr>
                    <w:t>初期雨水沉淀池</w:t>
                  </w:r>
                </w:p>
              </w:tc>
              <w:tc>
                <w:tcPr>
                  <w:tcW w:w="93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hint="eastAsia" w:cs="Times New Roman"/>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1063" w:type="dxa"/>
                  <w:vMerge w:val="continue"/>
                  <w:tcBorders>
                    <w:top w:val="nil"/>
                    <w:left w:val="nil"/>
                    <w:bottom w:val="single" w:color="auto" w:sz="4" w:space="0"/>
                    <w:right w:val="single" w:color="auto" w:sz="4" w:space="0"/>
                  </w:tcBorders>
                  <w:vAlign w:val="center"/>
                </w:tcPr>
                <w:p>
                  <w:pPr>
                    <w:widowControl/>
                    <w:adjustRightInd w:val="0"/>
                    <w:snapToGrid w:val="0"/>
                    <w:jc w:val="center"/>
                    <w:rPr>
                      <w:rFonts w:cs="Times New Roman"/>
                      <w:sz w:val="21"/>
                    </w:rPr>
                  </w:pPr>
                </w:p>
              </w:tc>
              <w:tc>
                <w:tcPr>
                  <w:tcW w:w="97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生活废水</w:t>
                  </w:r>
                </w:p>
              </w:tc>
              <w:tc>
                <w:tcPr>
                  <w:tcW w:w="196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隔油池、化粪池</w:t>
                  </w:r>
                </w:p>
              </w:tc>
              <w:tc>
                <w:tcPr>
                  <w:tcW w:w="93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64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噪声处理</w:t>
                  </w:r>
                </w:p>
              </w:tc>
              <w:tc>
                <w:tcPr>
                  <w:tcW w:w="97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生产设备运行产生的噪声和车辆运输噪声</w:t>
                  </w:r>
                </w:p>
              </w:tc>
              <w:tc>
                <w:tcPr>
                  <w:tcW w:w="196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隔声、减震、竖立减速禁止鸣笛等警示牌</w:t>
                  </w:r>
                </w:p>
              </w:tc>
              <w:tc>
                <w:tcPr>
                  <w:tcW w:w="93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64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固废处理</w:t>
                  </w:r>
                </w:p>
              </w:tc>
              <w:tc>
                <w:tcPr>
                  <w:tcW w:w="97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危险废物</w:t>
                  </w:r>
                </w:p>
              </w:tc>
              <w:tc>
                <w:tcPr>
                  <w:tcW w:w="196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危废间（5m</w:t>
                  </w:r>
                  <w:r>
                    <w:rPr>
                      <w:rFonts w:cs="Times New Roman"/>
                      <w:sz w:val="21"/>
                      <w:vertAlign w:val="superscript"/>
                    </w:rPr>
                    <w:t>2</w:t>
                  </w:r>
                  <w:r>
                    <w:rPr>
                      <w:rFonts w:cs="Times New Roman"/>
                      <w:sz w:val="21"/>
                    </w:rPr>
                    <w:t>）+危废处理</w:t>
                  </w:r>
                </w:p>
              </w:tc>
              <w:tc>
                <w:tcPr>
                  <w:tcW w:w="93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02"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center"/>
                    <w:rPr>
                      <w:rFonts w:cs="Times New Roman"/>
                      <w:sz w:val="21"/>
                    </w:rPr>
                  </w:pPr>
                </w:p>
              </w:tc>
              <w:tc>
                <w:tcPr>
                  <w:tcW w:w="640"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其他</w:t>
                  </w:r>
                </w:p>
              </w:tc>
              <w:tc>
                <w:tcPr>
                  <w:tcW w:w="973"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绿化</w:t>
                  </w:r>
                </w:p>
              </w:tc>
              <w:tc>
                <w:tcPr>
                  <w:tcW w:w="196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厂区内绿化</w:t>
                  </w:r>
                </w:p>
              </w:tc>
              <w:tc>
                <w:tcPr>
                  <w:tcW w:w="93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096"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合计</w:t>
                  </w:r>
                </w:p>
              </w:tc>
              <w:tc>
                <w:tcPr>
                  <w:tcW w:w="1969"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w:t>
                  </w:r>
                </w:p>
              </w:tc>
              <w:tc>
                <w:tcPr>
                  <w:tcW w:w="935" w:type="pct"/>
                  <w:tcBorders>
                    <w:top w:val="single" w:color="auto" w:sz="4" w:space="0"/>
                    <w:left w:val="nil"/>
                    <w:bottom w:val="single" w:color="auto" w:sz="4" w:space="0"/>
                    <w:right w:val="single" w:color="auto" w:sz="4" w:space="0"/>
                  </w:tcBorders>
                  <w:vAlign w:val="center"/>
                </w:tcPr>
                <w:p>
                  <w:pPr>
                    <w:adjustRightInd w:val="0"/>
                    <w:snapToGrid w:val="0"/>
                    <w:jc w:val="center"/>
                    <w:rPr>
                      <w:rFonts w:cs="Times New Roman"/>
                      <w:sz w:val="21"/>
                    </w:rPr>
                  </w:pPr>
                  <w:r>
                    <w:rPr>
                      <w:rFonts w:cs="Times New Roman"/>
                      <w:sz w:val="21"/>
                    </w:rPr>
                    <w:t>109</w:t>
                  </w:r>
                </w:p>
              </w:tc>
            </w:tr>
          </w:tbl>
          <w:p>
            <w:pPr>
              <w:pStyle w:val="7"/>
              <w:rPr>
                <w:rFonts w:cs="Times New Roman" w:eastAsiaTheme="minorEastAsia"/>
              </w:rPr>
            </w:pPr>
            <w:r>
              <w:rPr>
                <w:rFonts w:cs="Times New Roman" w:eastAsiaTheme="minorEastAsia"/>
              </w:rPr>
              <w:t>环境损益分析</w:t>
            </w:r>
          </w:p>
          <w:p>
            <w:pPr>
              <w:adjustRightInd w:val="0"/>
              <w:snapToGrid w:val="0"/>
              <w:spacing w:line="360" w:lineRule="auto"/>
              <w:ind w:firstLine="480" w:firstLineChars="200"/>
              <w:rPr>
                <w:rFonts w:cs="Times New Roman"/>
              </w:rPr>
            </w:pPr>
            <w:r>
              <w:rPr>
                <w:rFonts w:cs="Times New Roman"/>
              </w:rPr>
              <w:t>项目环保措施主要是体现国家环保政策，贯彻“总量控制”和“污染物达标排放”的原则，达到保护环境的目的。本项目采用的废气、废水等污染治理及清洁生产措施，达到了有效控制污染和保护环境的目的。环境保护投资的环境效益表现在一下方面：</w:t>
            </w:r>
          </w:p>
          <w:p>
            <w:pPr>
              <w:autoSpaceDE w:val="0"/>
              <w:autoSpaceDN w:val="0"/>
              <w:adjustRightInd w:val="0"/>
              <w:snapToGrid w:val="0"/>
              <w:spacing w:line="360" w:lineRule="auto"/>
              <w:ind w:firstLine="480" w:firstLineChars="200"/>
              <w:jc w:val="left"/>
              <w:rPr>
                <w:rFonts w:cs="Times New Roman"/>
              </w:rPr>
            </w:pPr>
            <w:r>
              <w:rPr>
                <w:rFonts w:cs="Times New Roman"/>
              </w:rPr>
              <w:t>（1）废气中有机废气的排放量大为减少，能有效降低对周围人群健康的影响，避免企业与周围群众产生不必要的纠纷，对保护区域环境空气质量有着重要意义。同时也可改善工厂的生产环境，提高生产效率。</w:t>
            </w:r>
          </w:p>
          <w:p>
            <w:pPr>
              <w:autoSpaceDE w:val="0"/>
              <w:autoSpaceDN w:val="0"/>
              <w:adjustRightInd w:val="0"/>
              <w:snapToGrid w:val="0"/>
              <w:spacing w:line="360" w:lineRule="auto"/>
              <w:ind w:firstLine="480" w:firstLineChars="200"/>
              <w:jc w:val="left"/>
              <w:rPr>
                <w:rFonts w:cs="Times New Roman"/>
              </w:rPr>
            </w:pPr>
            <w:r>
              <w:rPr>
                <w:rFonts w:cs="Times New Roman"/>
              </w:rPr>
              <w:t>（2）噪声污染防治设施的建设可为企业职工创造一个良好舒适的工作环境，对企业的安全生产、提高劳动生产率能起到较大作用。</w:t>
            </w:r>
          </w:p>
          <w:p>
            <w:pPr>
              <w:autoSpaceDE w:val="0"/>
              <w:autoSpaceDN w:val="0"/>
              <w:adjustRightInd w:val="0"/>
              <w:snapToGrid w:val="0"/>
              <w:spacing w:line="360" w:lineRule="auto"/>
              <w:ind w:firstLine="480" w:firstLineChars="200"/>
              <w:jc w:val="left"/>
              <w:rPr>
                <w:rFonts w:cs="Times New Roman"/>
              </w:rPr>
            </w:pPr>
            <w:r>
              <w:rPr>
                <w:rFonts w:cs="Times New Roman"/>
              </w:rPr>
              <w:t>（3）生产过程中产生的可利用固体废物收集后综合利用，实现了零排放，减轻了建设项目对环境的影响。危险废物有效处置，减轻了对环境的潜在危害影响，保障了本公司和附近人民群众的生活环境和身体健康。由此可见，本项目采用相应环境保护措施后环境效益较显著。</w:t>
            </w:r>
          </w:p>
          <w:p>
            <w:pPr>
              <w:pStyle w:val="7"/>
              <w:rPr>
                <w:rFonts w:cs="Times New Roman" w:eastAsiaTheme="minorEastAsia"/>
              </w:rPr>
            </w:pPr>
            <w:r>
              <w:rPr>
                <w:rFonts w:cs="Times New Roman" w:eastAsiaTheme="minorEastAsia"/>
              </w:rPr>
              <w:t>本项目竣工环保验收要求</w:t>
            </w:r>
          </w:p>
          <w:p>
            <w:pPr>
              <w:spacing w:line="360" w:lineRule="auto"/>
              <w:ind w:firstLine="480" w:firstLineChars="200"/>
              <w:rPr>
                <w:rFonts w:cs="Times New Roman"/>
              </w:rPr>
            </w:pPr>
            <w:r>
              <w:rPr>
                <w:rFonts w:cs="Times New Roman"/>
                <w:szCs w:val="24"/>
              </w:rPr>
              <w:t>根据《建设项目竣工环境保护验收暂行办法》（国环规环评〔2017〕4号）及其他环境保护法律法规规定，建设项目需要配套建设的环境保护设施，必须与主体工程同时设计、同时施工、同时投产使用。建设项目竣工后，建设单位应当如实查验、监测、记载建设项目环境保护设施的建设和调试情况，编制验收监测（调查）报告。建设项目配套建设的环境保护设施经验收合格后，其主体工程方可投入生产或者使用；未经验收或者验收不合格的，不得投入生产或者使用。项目“三同时”竣工验收见下表。</w:t>
            </w:r>
          </w:p>
          <w:p>
            <w:pPr>
              <w:jc w:val="center"/>
              <w:rPr>
                <w:rFonts w:cs="Times New Roman"/>
                <w:b/>
                <w:sz w:val="21"/>
              </w:rPr>
            </w:pPr>
            <w:r>
              <w:rPr>
                <w:rFonts w:cs="Times New Roman"/>
                <w:b/>
                <w:sz w:val="21"/>
              </w:rPr>
              <w:t>表7.2-4</w:t>
            </w:r>
            <w:r>
              <w:rPr>
                <w:rFonts w:hint="eastAsia" w:cs="Times New Roman"/>
                <w:b/>
                <w:sz w:val="21"/>
              </w:rPr>
              <w:t xml:space="preserve">6 </w:t>
            </w:r>
            <w:r>
              <w:rPr>
                <w:rFonts w:cs="Times New Roman"/>
                <w:b/>
                <w:sz w:val="21"/>
              </w:rPr>
              <w:t xml:space="preserve"> 本项目竣工验收一览表</w:t>
            </w:r>
          </w:p>
          <w:tbl>
            <w:tblPr>
              <w:tblStyle w:val="33"/>
              <w:tblW w:w="816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4"/>
              <w:gridCol w:w="958"/>
              <w:gridCol w:w="1055"/>
              <w:gridCol w:w="1313"/>
              <w:gridCol w:w="1947"/>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tcBorders>
                    <w:top w:val="single" w:color="auto" w:sz="4" w:space="0"/>
                    <w:left w:val="single" w:color="auto" w:sz="4" w:space="0"/>
                    <w:bottom w:val="single" w:color="auto" w:sz="4" w:space="0"/>
                    <w:right w:val="single" w:color="auto" w:sz="4" w:space="0"/>
                  </w:tcBorders>
                  <w:noWrap/>
                  <w:vAlign w:val="center"/>
                </w:tcPr>
                <w:p>
                  <w:pPr>
                    <w:jc w:val="center"/>
                    <w:rPr>
                      <w:rFonts w:cs="Times New Roman"/>
                      <w:sz w:val="21"/>
                    </w:rPr>
                  </w:pPr>
                  <w:r>
                    <w:rPr>
                      <w:rFonts w:cs="Times New Roman"/>
                      <w:sz w:val="21"/>
                    </w:rPr>
                    <w:t>类别</w:t>
                  </w: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验收项目</w:t>
                  </w:r>
                </w:p>
              </w:tc>
              <w:tc>
                <w:tcPr>
                  <w:tcW w:w="1055"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监测点位</w:t>
                  </w:r>
                </w:p>
              </w:tc>
              <w:tc>
                <w:tcPr>
                  <w:tcW w:w="1313"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监测项目</w:t>
                  </w:r>
                </w:p>
              </w:tc>
              <w:tc>
                <w:tcPr>
                  <w:tcW w:w="1947"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环境保护措施</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执行标准及验收要求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restart"/>
                  <w:tcBorders>
                    <w:top w:val="nil"/>
                    <w:left w:val="single" w:color="auto" w:sz="4" w:space="0"/>
                    <w:right w:val="single" w:color="auto" w:sz="4" w:space="0"/>
                  </w:tcBorders>
                  <w:noWrap/>
                  <w:vAlign w:val="center"/>
                </w:tcPr>
                <w:p>
                  <w:pPr>
                    <w:jc w:val="center"/>
                    <w:rPr>
                      <w:rFonts w:cs="Times New Roman"/>
                      <w:sz w:val="21"/>
                    </w:rPr>
                  </w:pPr>
                  <w:r>
                    <w:rPr>
                      <w:rFonts w:cs="Times New Roman"/>
                      <w:sz w:val="21"/>
                    </w:rPr>
                    <w:t>废水</w:t>
                  </w: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生产废水</w:t>
                  </w:r>
                </w:p>
              </w:tc>
              <w:tc>
                <w:tcPr>
                  <w:tcW w:w="1055"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w:t>
                  </w:r>
                </w:p>
              </w:tc>
              <w:tc>
                <w:tcPr>
                  <w:tcW w:w="1313"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w:t>
                  </w:r>
                </w:p>
              </w:tc>
              <w:tc>
                <w:tcPr>
                  <w:tcW w:w="1947"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经沉淀池沉淀后循环使用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continue"/>
                  <w:tcBorders>
                    <w:left w:val="single" w:color="auto" w:sz="4" w:space="0"/>
                    <w:right w:val="single" w:color="auto" w:sz="4" w:space="0"/>
                  </w:tcBorders>
                  <w:vAlign w:val="center"/>
                </w:tcPr>
                <w:p>
                  <w:pPr>
                    <w:widowControl/>
                    <w:jc w:val="left"/>
                    <w:rPr>
                      <w:rFonts w:cs="Times New Roman"/>
                      <w:sz w:val="21"/>
                    </w:rPr>
                  </w:pP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生活废水</w:t>
                  </w:r>
                </w:p>
              </w:tc>
              <w:tc>
                <w:tcPr>
                  <w:tcW w:w="1055"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化粪池出口</w:t>
                  </w:r>
                </w:p>
              </w:tc>
              <w:tc>
                <w:tcPr>
                  <w:tcW w:w="1313"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pH、COD、BOD</w:t>
                  </w:r>
                  <w:r>
                    <w:rPr>
                      <w:rFonts w:cs="Times New Roman"/>
                      <w:sz w:val="21"/>
                      <w:vertAlign w:val="subscript"/>
                    </w:rPr>
                    <w:t>5</w:t>
                  </w:r>
                  <w:r>
                    <w:rPr>
                      <w:rFonts w:cs="Times New Roman"/>
                      <w:sz w:val="21"/>
                    </w:rPr>
                    <w:t>、NH</w:t>
                  </w:r>
                  <w:r>
                    <w:rPr>
                      <w:rFonts w:cs="Times New Roman"/>
                      <w:sz w:val="21"/>
                      <w:vertAlign w:val="subscript"/>
                    </w:rPr>
                    <w:t>3</w:t>
                  </w:r>
                  <w:r>
                    <w:rPr>
                      <w:rFonts w:cs="Times New Roman"/>
                      <w:sz w:val="21"/>
                    </w:rPr>
                    <w:t>-N、SS、动植物油</w:t>
                  </w:r>
                </w:p>
              </w:tc>
              <w:tc>
                <w:tcPr>
                  <w:tcW w:w="1947"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经隔油池及化粪池处理后进入湖南城陵矶临港产业新区污水处理厂处理</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《污水综合排放标准》（GB8978-1996）中表4三级标准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continue"/>
                  <w:tcBorders>
                    <w:left w:val="single" w:color="auto" w:sz="4" w:space="0"/>
                    <w:bottom w:val="single" w:color="auto" w:sz="4" w:space="0"/>
                    <w:right w:val="single" w:color="auto" w:sz="4" w:space="0"/>
                  </w:tcBorders>
                  <w:vAlign w:val="center"/>
                </w:tcPr>
                <w:p>
                  <w:pPr>
                    <w:widowControl/>
                    <w:jc w:val="left"/>
                    <w:rPr>
                      <w:rFonts w:cs="Times New Roman"/>
                      <w:sz w:val="21"/>
                    </w:rPr>
                  </w:pP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hint="eastAsia" w:cs="Times New Roman"/>
                      <w:sz w:val="21"/>
                    </w:rPr>
                    <w:t>初期雨水</w:t>
                  </w:r>
                </w:p>
              </w:tc>
              <w:tc>
                <w:tcPr>
                  <w:tcW w:w="1055"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eastAsia="宋体" w:cs="Times New Roman"/>
                      <w:sz w:val="21"/>
                    </w:rPr>
                    <w:t>/</w:t>
                  </w:r>
                </w:p>
              </w:tc>
              <w:tc>
                <w:tcPr>
                  <w:tcW w:w="1313"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eastAsia="宋体" w:cs="Times New Roman"/>
                      <w:sz w:val="21"/>
                    </w:rPr>
                    <w:t>/</w:t>
                  </w:r>
                </w:p>
              </w:tc>
              <w:tc>
                <w:tcPr>
                  <w:tcW w:w="1947"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hint="eastAsia" w:hAnsi="宋体" w:eastAsia="宋体" w:cs="Times New Roman"/>
                      <w:sz w:val="21"/>
                    </w:rPr>
                    <w:t>初期雨水沉淀池</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hint="eastAsia" w:ascii="宋体" w:hAnsi="宋体" w:eastAsia="宋体" w:cs="Times New Roman"/>
                      <w:sz w:val="21"/>
                    </w:rPr>
                    <w:t>初期雨水经沉淀后回用于降尘，后期雨水排入东侧沟渠后汇入松阳湖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4" w:hRule="atLeast"/>
              </w:trPr>
              <w:tc>
                <w:tcPr>
                  <w:tcW w:w="294" w:type="dxa"/>
                  <w:vMerge w:val="restart"/>
                  <w:tcBorders>
                    <w:top w:val="nil"/>
                    <w:left w:val="single" w:color="auto" w:sz="4" w:space="0"/>
                    <w:bottom w:val="single" w:color="auto" w:sz="4" w:space="0"/>
                    <w:right w:val="single" w:color="auto" w:sz="4" w:space="0"/>
                  </w:tcBorders>
                  <w:noWrap/>
                  <w:vAlign w:val="center"/>
                </w:tcPr>
                <w:p>
                  <w:pPr>
                    <w:jc w:val="center"/>
                    <w:rPr>
                      <w:rFonts w:cs="Times New Roman"/>
                      <w:sz w:val="21"/>
                    </w:rPr>
                  </w:pPr>
                  <w:r>
                    <w:rPr>
                      <w:rFonts w:cs="Times New Roman"/>
                      <w:sz w:val="21"/>
                    </w:rPr>
                    <w:t>废气</w:t>
                  </w:r>
                </w:p>
              </w:tc>
              <w:tc>
                <w:tcPr>
                  <w:tcW w:w="958" w:type="dxa"/>
                  <w:tcBorders>
                    <w:top w:val="nil"/>
                    <w:left w:val="nil"/>
                    <w:bottom w:val="single" w:color="auto" w:sz="4" w:space="0"/>
                    <w:right w:val="single" w:color="auto" w:sz="4" w:space="0"/>
                  </w:tcBorders>
                  <w:noWrap/>
                  <w:vAlign w:val="center"/>
                </w:tcPr>
                <w:p>
                  <w:pPr>
                    <w:widowControl/>
                    <w:jc w:val="center"/>
                    <w:rPr>
                      <w:rFonts w:cs="Times New Roman"/>
                      <w:sz w:val="21"/>
                    </w:rPr>
                  </w:pPr>
                  <w:r>
                    <w:rPr>
                      <w:rFonts w:cs="Times New Roman"/>
                      <w:sz w:val="21"/>
                    </w:rPr>
                    <w:t>预拌混凝土生产废气</w:t>
                  </w:r>
                </w:p>
              </w:tc>
              <w:tc>
                <w:tcPr>
                  <w:tcW w:w="1055"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搅拌楼排气筒</w:t>
                  </w:r>
                </w:p>
              </w:tc>
              <w:tc>
                <w:tcPr>
                  <w:tcW w:w="1313" w:type="dxa"/>
                  <w:vMerge w:val="restart"/>
                  <w:tcBorders>
                    <w:top w:val="nil"/>
                    <w:left w:val="nil"/>
                    <w:bottom w:val="single" w:color="auto" w:sz="4" w:space="0"/>
                    <w:right w:val="single" w:color="auto" w:sz="4" w:space="0"/>
                  </w:tcBorders>
                  <w:noWrap/>
                  <w:vAlign w:val="center"/>
                </w:tcPr>
                <w:p>
                  <w:pPr>
                    <w:pStyle w:val="82"/>
                    <w:jc w:val="center"/>
                    <w:rPr>
                      <w:rFonts w:ascii="Times New Roman" w:hAnsi="Times New Roman" w:cs="Times New Roman"/>
                      <w:kern w:val="2"/>
                      <w:sz w:val="21"/>
                      <w:szCs w:val="21"/>
                    </w:rPr>
                  </w:pPr>
                  <w:r>
                    <w:rPr>
                      <w:rFonts w:ascii="Times New Roman" w:hAnsi="Times New Roman" w:cs="Times New Roman"/>
                      <w:kern w:val="2"/>
                      <w:sz w:val="21"/>
                      <w:szCs w:val="21"/>
                    </w:rPr>
                    <w:t>颗粒物</w:t>
                  </w:r>
                </w:p>
              </w:tc>
              <w:tc>
                <w:tcPr>
                  <w:tcW w:w="1947" w:type="dxa"/>
                  <w:tcBorders>
                    <w:top w:val="single" w:color="auto" w:sz="4" w:space="0"/>
                    <w:left w:val="nil"/>
                    <w:right w:val="single" w:color="auto" w:sz="4" w:space="0"/>
                  </w:tcBorders>
                  <w:noWrap/>
                  <w:vAlign w:val="center"/>
                </w:tcPr>
                <w:p>
                  <w:pPr>
                    <w:widowControl/>
                    <w:jc w:val="center"/>
                    <w:rPr>
                      <w:rFonts w:cs="Times New Roman"/>
                      <w:sz w:val="21"/>
                    </w:rPr>
                  </w:pPr>
                  <w:r>
                    <w:rPr>
                      <w:rFonts w:cs="Times New Roman"/>
                      <w:sz w:val="21"/>
                    </w:rPr>
                    <w:t>搅拌楼各配置一台脉冲除尘器+30m排气筒（共2套</w:t>
                  </w:r>
                  <w:r>
                    <w:rPr>
                      <w:rFonts w:hint="eastAsia" w:cs="Times New Roman"/>
                      <w:sz w:val="21"/>
                    </w:rPr>
                    <w:t>脉冲除尘器，共用一根排气筒，排气筒的编号为MA001）</w:t>
                  </w:r>
                </w:p>
              </w:tc>
              <w:tc>
                <w:tcPr>
                  <w:tcW w:w="2600" w:type="dxa"/>
                  <w:tcBorders>
                    <w:top w:val="nil"/>
                    <w:left w:val="nil"/>
                    <w:bottom w:val="single" w:color="auto" w:sz="4" w:space="0"/>
                    <w:right w:val="single" w:color="auto" w:sz="4" w:space="0"/>
                  </w:tcBorders>
                  <w:noWrap/>
                  <w:vAlign w:val="center"/>
                </w:tcPr>
                <w:p>
                  <w:pPr>
                    <w:jc w:val="center"/>
                    <w:rPr>
                      <w:rFonts w:cs="Times New Roman"/>
                      <w:sz w:val="21"/>
                    </w:rPr>
                  </w:pPr>
                  <w:r>
                    <w:rPr>
                      <w:rFonts w:cs="Times New Roman"/>
                      <w:sz w:val="21"/>
                    </w:rPr>
                    <w:t>满足《水泥工业大气污染物排放标准》（GB4915-2013）表2中规定的排放限值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rPr>
                  </w:pP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厂界</w:t>
                  </w:r>
                </w:p>
              </w:tc>
              <w:tc>
                <w:tcPr>
                  <w:tcW w:w="1055"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厂界监控点</w:t>
                  </w:r>
                </w:p>
              </w:tc>
              <w:tc>
                <w:tcPr>
                  <w:tcW w:w="1313" w:type="dxa"/>
                  <w:vMerge w:val="continue"/>
                  <w:tcBorders>
                    <w:top w:val="nil"/>
                    <w:left w:val="nil"/>
                    <w:bottom w:val="single" w:color="auto" w:sz="4" w:space="0"/>
                    <w:right w:val="single" w:color="auto" w:sz="4" w:space="0"/>
                  </w:tcBorders>
                  <w:vAlign w:val="center"/>
                </w:tcPr>
                <w:p>
                  <w:pPr>
                    <w:widowControl/>
                    <w:jc w:val="left"/>
                    <w:rPr>
                      <w:rFonts w:cs="Times New Roman"/>
                      <w:color w:val="000000"/>
                      <w:sz w:val="21"/>
                    </w:rPr>
                  </w:pPr>
                </w:p>
              </w:tc>
              <w:tc>
                <w:tcPr>
                  <w:tcW w:w="1947"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地面硬化、喷水雾化器</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满足《水泥工业大气污染物排放标准》（GB4915-2013）表3中规定的排放限值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rPr>
                  </w:pP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道路运输</w:t>
                  </w:r>
                </w:p>
              </w:tc>
              <w:tc>
                <w:tcPr>
                  <w:tcW w:w="1055"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厂界监控点</w:t>
                  </w:r>
                </w:p>
              </w:tc>
              <w:tc>
                <w:tcPr>
                  <w:tcW w:w="1313" w:type="dxa"/>
                  <w:vMerge w:val="continue"/>
                  <w:tcBorders>
                    <w:top w:val="nil"/>
                    <w:left w:val="nil"/>
                    <w:bottom w:val="single" w:color="auto" w:sz="4" w:space="0"/>
                    <w:right w:val="single" w:color="auto" w:sz="4" w:space="0"/>
                  </w:tcBorders>
                  <w:vAlign w:val="center"/>
                </w:tcPr>
                <w:p>
                  <w:pPr>
                    <w:widowControl/>
                    <w:jc w:val="left"/>
                    <w:rPr>
                      <w:rFonts w:cs="Times New Roman"/>
                      <w:color w:val="000000"/>
                      <w:sz w:val="21"/>
                    </w:rPr>
                  </w:pPr>
                </w:p>
              </w:tc>
              <w:tc>
                <w:tcPr>
                  <w:tcW w:w="1947"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洒水降尘</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rPr>
                  </w:pP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食堂油烟</w:t>
                  </w:r>
                </w:p>
              </w:tc>
              <w:tc>
                <w:tcPr>
                  <w:tcW w:w="1055"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油烟净化器出口</w:t>
                  </w:r>
                </w:p>
              </w:tc>
              <w:tc>
                <w:tcPr>
                  <w:tcW w:w="1313"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油烟</w:t>
                  </w:r>
                </w:p>
              </w:tc>
              <w:tc>
                <w:tcPr>
                  <w:tcW w:w="1947"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油烟净化器+1根15m高排气筒</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满足《饮食业油烟排放标准（试行）》（GB 18483-2001）表2中规定的排放限值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tcBorders>
                    <w:top w:val="single" w:color="auto" w:sz="4" w:space="0"/>
                    <w:left w:val="single" w:color="auto" w:sz="4" w:space="0"/>
                    <w:bottom w:val="single" w:color="auto" w:sz="4" w:space="0"/>
                    <w:right w:val="single" w:color="auto" w:sz="4" w:space="0"/>
                  </w:tcBorders>
                  <w:noWrap/>
                  <w:vAlign w:val="center"/>
                </w:tcPr>
                <w:p>
                  <w:pPr>
                    <w:jc w:val="center"/>
                    <w:rPr>
                      <w:rFonts w:cs="Times New Roman"/>
                      <w:sz w:val="21"/>
                    </w:rPr>
                  </w:pPr>
                  <w:r>
                    <w:rPr>
                      <w:rFonts w:cs="Times New Roman"/>
                      <w:sz w:val="21"/>
                    </w:rPr>
                    <w:t>噪声</w:t>
                  </w: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噪声</w:t>
                  </w:r>
                </w:p>
              </w:tc>
              <w:tc>
                <w:tcPr>
                  <w:tcW w:w="1055"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厂界</w:t>
                  </w:r>
                </w:p>
              </w:tc>
              <w:tc>
                <w:tcPr>
                  <w:tcW w:w="1313"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噪声</w:t>
                  </w:r>
                </w:p>
              </w:tc>
              <w:tc>
                <w:tcPr>
                  <w:tcW w:w="1947"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color w:val="000000"/>
                      <w:sz w:val="21"/>
                    </w:rPr>
                    <w:t>低噪声设备，基础减振，绿化带，厂房隔声等</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满足《工业企业厂界环境噪声排放标准》（GB12348-2008）3类及4a类标准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restart"/>
                  <w:tcBorders>
                    <w:top w:val="nil"/>
                    <w:left w:val="single" w:color="auto" w:sz="4" w:space="0"/>
                    <w:bottom w:val="single" w:color="auto" w:sz="4" w:space="0"/>
                    <w:right w:val="single" w:color="auto" w:sz="4" w:space="0"/>
                  </w:tcBorders>
                  <w:noWrap/>
                  <w:vAlign w:val="center"/>
                </w:tcPr>
                <w:p>
                  <w:pPr>
                    <w:jc w:val="center"/>
                    <w:rPr>
                      <w:rFonts w:cs="Times New Roman"/>
                      <w:sz w:val="21"/>
                    </w:rPr>
                  </w:pPr>
                  <w:r>
                    <w:rPr>
                      <w:rFonts w:cs="Times New Roman"/>
                      <w:sz w:val="21"/>
                    </w:rPr>
                    <w:t>固体废物</w:t>
                  </w:r>
                </w:p>
              </w:tc>
              <w:tc>
                <w:tcPr>
                  <w:tcW w:w="958" w:type="dxa"/>
                  <w:vMerge w:val="restart"/>
                  <w:tcBorders>
                    <w:top w:val="single" w:color="auto" w:sz="4" w:space="0"/>
                    <w:left w:val="nil"/>
                    <w:right w:val="single" w:color="auto" w:sz="4" w:space="0"/>
                  </w:tcBorders>
                  <w:noWrap/>
                  <w:vAlign w:val="center"/>
                </w:tcPr>
                <w:p>
                  <w:pPr>
                    <w:jc w:val="center"/>
                    <w:rPr>
                      <w:rFonts w:cs="Times New Roman"/>
                      <w:sz w:val="21"/>
                    </w:rPr>
                  </w:pPr>
                  <w:r>
                    <w:rPr>
                      <w:rFonts w:cs="Times New Roman"/>
                      <w:sz w:val="21"/>
                    </w:rPr>
                    <w:t>一般固废</w:t>
                  </w:r>
                </w:p>
              </w:tc>
              <w:tc>
                <w:tcPr>
                  <w:tcW w:w="4315" w:type="dxa"/>
                  <w:gridSpan w:val="3"/>
                  <w:tcBorders>
                    <w:top w:val="single" w:color="auto" w:sz="4" w:space="0"/>
                    <w:left w:val="nil"/>
                    <w:bottom w:val="single" w:color="auto" w:sz="4" w:space="0"/>
                    <w:right w:val="single" w:color="auto" w:sz="4" w:space="0"/>
                  </w:tcBorders>
                  <w:noWrap/>
                  <w:vAlign w:val="center"/>
                </w:tcPr>
                <w:p>
                  <w:pPr>
                    <w:jc w:val="center"/>
                    <w:rPr>
                      <w:rFonts w:hint="eastAsia" w:cs="Times New Roman" w:eastAsiaTheme="minorEastAsia"/>
                      <w:sz w:val="21"/>
                      <w:lang w:eastAsia="zh-CN"/>
                    </w:rPr>
                  </w:pPr>
                  <w:r>
                    <w:rPr>
                      <w:rFonts w:cs="Times New Roman"/>
                      <w:sz w:val="21"/>
                    </w:rPr>
                    <w:t>除尘设备收集的粉尘、砂石分离机分离后的砂石、沉淀池沉淀泥砂及实验室废料均回用于生产</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continue"/>
                  <w:tcBorders>
                    <w:left w:val="single" w:color="auto" w:sz="4" w:space="0"/>
                    <w:right w:val="single" w:color="auto" w:sz="4" w:space="0"/>
                  </w:tcBorders>
                  <w:noWrap/>
                  <w:vAlign w:val="center"/>
                </w:tcPr>
                <w:p>
                  <w:pPr>
                    <w:jc w:val="center"/>
                    <w:rPr>
                      <w:rFonts w:cs="Times New Roman"/>
                      <w:sz w:val="21"/>
                    </w:rPr>
                  </w:pPr>
                </w:p>
              </w:tc>
              <w:tc>
                <w:tcPr>
                  <w:tcW w:w="958" w:type="dxa"/>
                  <w:vMerge w:val="continue"/>
                  <w:tcBorders>
                    <w:left w:val="nil"/>
                    <w:bottom w:val="single" w:color="auto" w:sz="4" w:space="0"/>
                    <w:right w:val="single" w:color="auto" w:sz="4" w:space="0"/>
                  </w:tcBorders>
                  <w:noWrap/>
                  <w:vAlign w:val="center"/>
                </w:tcPr>
                <w:p>
                  <w:pPr>
                    <w:jc w:val="center"/>
                    <w:rPr>
                      <w:rFonts w:cs="Times New Roman"/>
                      <w:sz w:val="21"/>
                    </w:rPr>
                  </w:pPr>
                </w:p>
              </w:tc>
              <w:tc>
                <w:tcPr>
                  <w:tcW w:w="4315" w:type="dxa"/>
                  <w:gridSpan w:val="3"/>
                  <w:tcBorders>
                    <w:top w:val="single" w:color="auto" w:sz="4" w:space="0"/>
                    <w:left w:val="nil"/>
                    <w:bottom w:val="single" w:color="auto" w:sz="4" w:space="0"/>
                    <w:right w:val="single" w:color="auto" w:sz="4" w:space="0"/>
                  </w:tcBorders>
                  <w:noWrap/>
                  <w:vAlign w:val="center"/>
                </w:tcPr>
                <w:p>
                  <w:pPr>
                    <w:jc w:val="center"/>
                    <w:rPr>
                      <w:rFonts w:hint="eastAsia" w:cs="Times New Roman" w:eastAsiaTheme="minorEastAsia"/>
                      <w:sz w:val="21"/>
                      <w:lang w:eastAsia="zh-CN"/>
                    </w:rPr>
                  </w:pPr>
                  <w:r>
                    <w:rPr>
                      <w:rFonts w:cs="Times New Roman"/>
                      <w:sz w:val="21"/>
                    </w:rPr>
                    <w:t>含油抹布及手套</w:t>
                  </w:r>
                  <w:r>
                    <w:rPr>
                      <w:rFonts w:hint="eastAsia" w:cs="Times New Roman"/>
                      <w:sz w:val="21"/>
                      <w:lang w:eastAsia="zh-CN"/>
                    </w:rPr>
                    <w:t>收集后妥善处理</w:t>
                  </w:r>
                </w:p>
              </w:tc>
              <w:tc>
                <w:tcPr>
                  <w:tcW w:w="2600" w:type="dxa"/>
                  <w:tcBorders>
                    <w:top w:val="single" w:color="auto" w:sz="4" w:space="0"/>
                    <w:left w:val="nil"/>
                    <w:bottom w:val="single" w:color="auto" w:sz="4" w:space="0"/>
                    <w:right w:val="single" w:color="auto" w:sz="4" w:space="0"/>
                  </w:tcBorders>
                  <w:noWrap/>
                  <w:vAlign w:val="center"/>
                </w:tcPr>
                <w:p>
                  <w:pPr>
                    <w:jc w:val="center"/>
                    <w:rPr>
                      <w:rFonts w:hint="eastAsia" w:cs="Times New Roman" w:eastAsiaTheme="minorEastAsia"/>
                      <w:sz w:val="21"/>
                      <w:lang w:eastAsia="zh-CN"/>
                    </w:rPr>
                  </w:pPr>
                  <w:r>
                    <w:rPr>
                      <w:rFonts w:hint="eastAsia" w:cs="Times New Roman"/>
                      <w:sz w:val="21"/>
                      <w:lang w:eastAsia="zh-CN"/>
                    </w:rPr>
                    <w:t>全过程可不按照危险废物管理，收集后统一处理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rPr>
                  </w:pP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生活垃圾</w:t>
                  </w:r>
                </w:p>
              </w:tc>
              <w:tc>
                <w:tcPr>
                  <w:tcW w:w="4315" w:type="dxa"/>
                  <w:gridSpan w:val="3"/>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统一收集后交由环卫部门处理</w:t>
                  </w:r>
                </w:p>
              </w:tc>
              <w:tc>
                <w:tcPr>
                  <w:tcW w:w="2600"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统一收集后交由环卫部门处理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94" w:type="dxa"/>
                  <w:vMerge w:val="continue"/>
                  <w:tcBorders>
                    <w:top w:val="nil"/>
                    <w:left w:val="single" w:color="auto" w:sz="4" w:space="0"/>
                    <w:bottom w:val="single" w:color="auto" w:sz="4" w:space="0"/>
                    <w:right w:val="single" w:color="auto" w:sz="4" w:space="0"/>
                  </w:tcBorders>
                  <w:vAlign w:val="center"/>
                </w:tcPr>
                <w:p>
                  <w:pPr>
                    <w:widowControl/>
                    <w:jc w:val="left"/>
                    <w:rPr>
                      <w:rFonts w:cs="Times New Roman"/>
                      <w:sz w:val="21"/>
                    </w:rPr>
                  </w:pPr>
                </w:p>
              </w:tc>
              <w:tc>
                <w:tcPr>
                  <w:tcW w:w="958" w:type="dxa"/>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危险废物</w:t>
                  </w:r>
                </w:p>
              </w:tc>
              <w:tc>
                <w:tcPr>
                  <w:tcW w:w="6915" w:type="dxa"/>
                  <w:gridSpan w:val="4"/>
                  <w:tcBorders>
                    <w:top w:val="single" w:color="auto" w:sz="4" w:space="0"/>
                    <w:left w:val="nil"/>
                    <w:bottom w:val="single" w:color="auto" w:sz="4" w:space="0"/>
                    <w:right w:val="single" w:color="auto" w:sz="4" w:space="0"/>
                  </w:tcBorders>
                  <w:noWrap/>
                  <w:vAlign w:val="center"/>
                </w:tcPr>
                <w:p>
                  <w:pPr>
                    <w:jc w:val="center"/>
                    <w:rPr>
                      <w:rFonts w:cs="Times New Roman"/>
                      <w:sz w:val="21"/>
                    </w:rPr>
                  </w:pPr>
                  <w:r>
                    <w:rPr>
                      <w:rFonts w:cs="Times New Roman"/>
                      <w:sz w:val="21"/>
                    </w:rPr>
                    <w:t xml:space="preserve">废润滑油暂存于危废暂存间，定期交给有资质的单位进行处理； </w:t>
                  </w:r>
                </w:p>
              </w:tc>
            </w:tr>
          </w:tbl>
          <w:p>
            <w:pPr>
              <w:jc w:val="center"/>
              <w:rPr>
                <w:rFonts w:cs="Times New Roman"/>
                <w:b/>
              </w:rPr>
            </w:pPr>
          </w:p>
        </w:tc>
      </w:tr>
    </w:tbl>
    <w:p>
      <w:pPr>
        <w:pStyle w:val="4"/>
        <w:numPr>
          <w:ilvl w:val="0"/>
          <w:numId w:val="0"/>
        </w:numPr>
        <w:rPr>
          <w:rFonts w:cs="Times New Roman" w:eastAsiaTheme="minorEastAsia"/>
        </w:rPr>
      </w:pPr>
    </w:p>
    <w:p>
      <w:pPr>
        <w:rPr>
          <w:rFonts w:cs="Times New Roman"/>
          <w:color w:val="000000" w:themeColor="text1"/>
        </w:rPr>
      </w:pPr>
      <w:bookmarkStart w:id="22" w:name="_Toc2645"/>
      <w:r>
        <w:rPr>
          <w:rFonts w:cs="Times New Roman"/>
          <w:color w:val="000000" w:themeColor="text1"/>
        </w:rPr>
        <w:br w:type="page"/>
      </w:r>
    </w:p>
    <w:p>
      <w:pPr>
        <w:pStyle w:val="4"/>
        <w:rPr>
          <w:rFonts w:cs="Times New Roman" w:eastAsiaTheme="minorEastAsia"/>
          <w:color w:val="000000" w:themeColor="text1"/>
        </w:rPr>
      </w:pPr>
      <w:r>
        <w:rPr>
          <w:rFonts w:cs="Times New Roman" w:eastAsiaTheme="minorEastAsia"/>
          <w:color w:val="000000" w:themeColor="text1"/>
        </w:rPr>
        <w:t>建设项目拟采取的防治措施及预期治理效果</w:t>
      </w:r>
      <w:bookmarkEnd w:id="22"/>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2"/>
        <w:gridCol w:w="471"/>
        <w:gridCol w:w="1858"/>
        <w:gridCol w:w="1402"/>
        <w:gridCol w:w="2356"/>
        <w:gridCol w:w="19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7" w:type="pct"/>
            <w:gridSpan w:val="2"/>
            <w:tcBorders>
              <w:top w:val="single" w:color="auto" w:sz="8" w:space="0"/>
              <w:left w:val="single" w:color="auto" w:sz="8" w:space="0"/>
              <w:bottom w:val="single" w:color="auto" w:sz="4" w:space="0"/>
              <w:right w:val="single" w:color="auto" w:sz="4" w:space="0"/>
            </w:tcBorders>
            <w:vAlign w:val="center"/>
          </w:tcPr>
          <w:p>
            <w:pPr>
              <w:ind w:firstLine="105" w:firstLineChars="50"/>
              <w:jc w:val="center"/>
              <w:rPr>
                <w:rFonts w:cs="Times New Roman"/>
                <w:sz w:val="21"/>
              </w:rPr>
            </w:pPr>
            <w:r>
              <w:rPr>
                <w:rFonts w:cs="Times New Roman"/>
                <w:sz w:val="21"/>
              </w:rPr>
              <w:t>内容</w:t>
            </w:r>
          </w:p>
          <w:p>
            <w:pPr>
              <w:jc w:val="center"/>
              <w:rPr>
                <w:rFonts w:cs="Times New Roman"/>
                <w:sz w:val="21"/>
              </w:rPr>
            </w:pPr>
            <w:r>
              <w:rPr>
                <w:rFonts w:cs="Times New Roman"/>
                <w:sz w:val="21"/>
              </w:rPr>
              <w:t>类型</w:t>
            </w:r>
          </w:p>
        </w:tc>
        <w:tc>
          <w:tcPr>
            <w:tcW w:w="1090" w:type="pct"/>
            <w:tcBorders>
              <w:top w:val="single" w:color="auto" w:sz="8"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排放源</w:t>
            </w:r>
          </w:p>
        </w:tc>
        <w:tc>
          <w:tcPr>
            <w:tcW w:w="822" w:type="pct"/>
            <w:tcBorders>
              <w:top w:val="single" w:color="auto" w:sz="8"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污染物名称</w:t>
            </w:r>
          </w:p>
        </w:tc>
        <w:tc>
          <w:tcPr>
            <w:tcW w:w="1381" w:type="pct"/>
            <w:tcBorders>
              <w:top w:val="single" w:color="auto" w:sz="8"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防治措施</w:t>
            </w:r>
          </w:p>
        </w:tc>
        <w:tc>
          <w:tcPr>
            <w:tcW w:w="1157" w:type="pct"/>
            <w:tcBorders>
              <w:top w:val="single" w:color="auto" w:sz="8" w:space="0"/>
              <w:left w:val="single" w:color="auto" w:sz="4" w:space="0"/>
              <w:bottom w:val="single" w:color="auto" w:sz="4" w:space="0"/>
              <w:right w:val="single" w:color="auto" w:sz="8" w:space="0"/>
            </w:tcBorders>
            <w:vAlign w:val="center"/>
          </w:tcPr>
          <w:p>
            <w:pPr>
              <w:jc w:val="center"/>
              <w:rPr>
                <w:rFonts w:cs="Times New Roman"/>
                <w:sz w:val="21"/>
              </w:rPr>
            </w:pPr>
            <w:r>
              <w:rPr>
                <w:rFonts w:cs="Times New Roman"/>
                <w:sz w:val="21"/>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restart"/>
            <w:tcBorders>
              <w:top w:val="single" w:color="auto" w:sz="4" w:space="0"/>
              <w:left w:val="single" w:color="auto" w:sz="8"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施工期</w:t>
            </w:r>
          </w:p>
        </w:tc>
        <w:tc>
          <w:tcPr>
            <w:tcW w:w="276" w:type="pct"/>
            <w:vMerge w:val="restar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废水</w:t>
            </w:r>
          </w:p>
        </w:tc>
        <w:tc>
          <w:tcPr>
            <w:tcW w:w="1090"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施工作业废水</w:t>
            </w:r>
          </w:p>
        </w:tc>
        <w:tc>
          <w:tcPr>
            <w:tcW w:w="822"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 xml:space="preserve">SS </w:t>
            </w:r>
          </w:p>
        </w:tc>
        <w:tc>
          <w:tcPr>
            <w:tcW w:w="1381"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沉淀池处理</w:t>
            </w:r>
          </w:p>
        </w:tc>
        <w:tc>
          <w:tcPr>
            <w:tcW w:w="1157" w:type="pct"/>
            <w:tcBorders>
              <w:top w:val="single" w:color="auto" w:sz="4" w:space="0"/>
              <w:left w:val="single" w:color="auto" w:sz="4" w:space="0"/>
              <w:bottom w:val="single" w:color="auto" w:sz="4" w:space="0"/>
              <w:right w:val="single" w:color="auto" w:sz="8"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回用，不外排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生活污水</w:t>
            </w:r>
          </w:p>
        </w:tc>
        <w:tc>
          <w:tcPr>
            <w:tcW w:w="822"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COD、BOD</w:t>
            </w:r>
            <w:r>
              <w:rPr>
                <w:rFonts w:ascii="Times New Roman" w:hAnsi="Times New Roman" w:eastAsiaTheme="minorEastAsia"/>
                <w:szCs w:val="21"/>
                <w:vertAlign w:val="subscript"/>
              </w:rPr>
              <w:t>5</w:t>
            </w:r>
            <w:r>
              <w:rPr>
                <w:rFonts w:ascii="Times New Roman" w:hAnsi="Times New Roman" w:eastAsiaTheme="minorEastAsia"/>
                <w:szCs w:val="21"/>
              </w:rPr>
              <w:t>、NH</w:t>
            </w:r>
            <w:r>
              <w:rPr>
                <w:rFonts w:ascii="Times New Roman" w:hAnsi="Times New Roman" w:eastAsiaTheme="minorEastAsia"/>
                <w:szCs w:val="21"/>
                <w:vertAlign w:val="subscript"/>
              </w:rPr>
              <w:t>3</w:t>
            </w:r>
            <w:r>
              <w:rPr>
                <w:rFonts w:ascii="Times New Roman" w:hAnsi="Times New Roman" w:eastAsiaTheme="minorEastAsia"/>
                <w:szCs w:val="21"/>
              </w:rPr>
              <w:t xml:space="preserve">-N、SS </w:t>
            </w:r>
          </w:p>
        </w:tc>
        <w:tc>
          <w:tcPr>
            <w:tcW w:w="1381"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化粪池处理</w:t>
            </w:r>
          </w:p>
        </w:tc>
        <w:tc>
          <w:tcPr>
            <w:tcW w:w="1157" w:type="pct"/>
            <w:tcBorders>
              <w:top w:val="single" w:color="auto" w:sz="4" w:space="0"/>
              <w:left w:val="single" w:color="auto" w:sz="4" w:space="0"/>
              <w:bottom w:val="single" w:color="auto" w:sz="4" w:space="0"/>
              <w:right w:val="single" w:color="auto" w:sz="8"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化粪池处理后进入湖南城陵矶临港产业新区污水处理厂处理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废气</w:t>
            </w:r>
          </w:p>
        </w:tc>
        <w:tc>
          <w:tcPr>
            <w:tcW w:w="1090"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施工扬尘</w:t>
            </w:r>
          </w:p>
        </w:tc>
        <w:tc>
          <w:tcPr>
            <w:tcW w:w="822"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颗粒物</w:t>
            </w:r>
          </w:p>
        </w:tc>
        <w:tc>
          <w:tcPr>
            <w:tcW w:w="1381"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设置施工围挡、洒水抑尘、车辆冲洗</w:t>
            </w:r>
          </w:p>
        </w:tc>
        <w:tc>
          <w:tcPr>
            <w:tcW w:w="1157" w:type="pct"/>
            <w:tcBorders>
              <w:top w:val="single" w:color="auto" w:sz="4" w:space="0"/>
              <w:left w:val="single" w:color="auto" w:sz="4" w:space="0"/>
              <w:bottom w:val="single" w:color="auto" w:sz="4" w:space="0"/>
              <w:right w:val="single" w:color="auto" w:sz="8"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满足《大气污染物综合排放标准》（GB16297-1996）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噪声</w:t>
            </w:r>
          </w:p>
        </w:tc>
        <w:tc>
          <w:tcPr>
            <w:tcW w:w="1090"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施工作业、机械车辆</w:t>
            </w:r>
          </w:p>
        </w:tc>
        <w:tc>
          <w:tcPr>
            <w:tcW w:w="822"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噪声</w:t>
            </w:r>
          </w:p>
        </w:tc>
        <w:tc>
          <w:tcPr>
            <w:tcW w:w="1381"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合理布局施工现场、隔声减振、控制施工时间；输车辆低速慢行，禁止鸣笛</w:t>
            </w:r>
          </w:p>
        </w:tc>
        <w:tc>
          <w:tcPr>
            <w:tcW w:w="1157" w:type="pct"/>
            <w:tcBorders>
              <w:top w:val="single" w:color="auto" w:sz="4" w:space="0"/>
              <w:left w:val="single" w:color="auto" w:sz="4" w:space="0"/>
              <w:bottom w:val="single" w:color="auto" w:sz="4" w:space="0"/>
              <w:right w:val="single" w:color="auto" w:sz="8"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满足《建筑施工场界环境噪声排放标准》（GB12523-2011）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restar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固废</w:t>
            </w:r>
          </w:p>
        </w:tc>
        <w:tc>
          <w:tcPr>
            <w:tcW w:w="1090"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施工作业</w:t>
            </w:r>
          </w:p>
        </w:tc>
        <w:tc>
          <w:tcPr>
            <w:tcW w:w="822"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建筑垃圾</w:t>
            </w:r>
          </w:p>
        </w:tc>
        <w:tc>
          <w:tcPr>
            <w:tcW w:w="1381"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分类收集后统一由当地环卫部门处理</w:t>
            </w:r>
          </w:p>
        </w:tc>
        <w:tc>
          <w:tcPr>
            <w:tcW w:w="1157" w:type="pct"/>
            <w:tcBorders>
              <w:top w:val="single" w:color="auto" w:sz="4" w:space="0"/>
              <w:left w:val="single" w:color="auto" w:sz="4" w:space="0"/>
              <w:bottom w:val="single" w:color="auto" w:sz="4" w:space="0"/>
              <w:right w:val="single" w:color="auto" w:sz="8"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员工生活</w:t>
            </w:r>
          </w:p>
        </w:tc>
        <w:tc>
          <w:tcPr>
            <w:tcW w:w="822"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生活垃圾</w:t>
            </w:r>
          </w:p>
        </w:tc>
        <w:tc>
          <w:tcPr>
            <w:tcW w:w="1381"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统一收集后由当地环卫部门处理</w:t>
            </w:r>
          </w:p>
        </w:tc>
        <w:tc>
          <w:tcPr>
            <w:tcW w:w="1157" w:type="pct"/>
            <w:tcBorders>
              <w:top w:val="single" w:color="auto" w:sz="4" w:space="0"/>
              <w:left w:val="single" w:color="auto" w:sz="4" w:space="0"/>
              <w:bottom w:val="single" w:color="auto" w:sz="4" w:space="0"/>
              <w:right w:val="single" w:color="auto" w:sz="8"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restart"/>
            <w:tcBorders>
              <w:top w:val="single" w:color="auto" w:sz="4" w:space="0"/>
              <w:left w:val="single" w:color="auto" w:sz="8"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营运期</w:t>
            </w:r>
          </w:p>
        </w:tc>
        <w:tc>
          <w:tcPr>
            <w:tcW w:w="276" w:type="pct"/>
            <w:vMerge w:val="restar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废水</w:t>
            </w:r>
          </w:p>
        </w:tc>
        <w:tc>
          <w:tcPr>
            <w:tcW w:w="1090"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生产废水</w:t>
            </w:r>
          </w:p>
        </w:tc>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w:t>
            </w:r>
          </w:p>
        </w:tc>
        <w:tc>
          <w:tcPr>
            <w:tcW w:w="1381"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w:t>
            </w:r>
          </w:p>
        </w:tc>
        <w:tc>
          <w:tcPr>
            <w:tcW w:w="1157" w:type="pct"/>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r>
              <w:rPr>
                <w:rFonts w:cs="Times New Roman"/>
                <w:sz w:val="21"/>
              </w:rPr>
              <w:t>经沉淀池沉淀后循环使用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生活废水</w:t>
            </w:r>
          </w:p>
        </w:tc>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pH、COD、BOD</w:t>
            </w:r>
            <w:r>
              <w:rPr>
                <w:rFonts w:cs="Times New Roman"/>
                <w:sz w:val="21"/>
                <w:vertAlign w:val="subscript"/>
              </w:rPr>
              <w:t>5</w:t>
            </w:r>
            <w:r>
              <w:rPr>
                <w:rFonts w:cs="Times New Roman"/>
                <w:sz w:val="21"/>
              </w:rPr>
              <w:t>、NH</w:t>
            </w:r>
            <w:r>
              <w:rPr>
                <w:rFonts w:cs="Times New Roman"/>
                <w:sz w:val="21"/>
                <w:vertAlign w:val="subscript"/>
              </w:rPr>
              <w:t>3</w:t>
            </w:r>
            <w:r>
              <w:rPr>
                <w:rFonts w:cs="Times New Roman"/>
                <w:sz w:val="21"/>
              </w:rPr>
              <w:t>-N、SS、动植物油</w:t>
            </w:r>
          </w:p>
        </w:tc>
        <w:tc>
          <w:tcPr>
            <w:tcW w:w="1381"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经隔油池及化粪池处理后进入湖南城陵矶临港产业新区污水处理厂处理</w:t>
            </w:r>
          </w:p>
        </w:tc>
        <w:tc>
          <w:tcPr>
            <w:tcW w:w="1157" w:type="pct"/>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r>
              <w:rPr>
                <w:rFonts w:cs="Times New Roman"/>
                <w:sz w:val="21"/>
              </w:rPr>
              <w:t>满足《污水综合排放标准》（GB8978-1996）中表4三级标准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restar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废气</w:t>
            </w:r>
          </w:p>
        </w:tc>
        <w:tc>
          <w:tcPr>
            <w:tcW w:w="1090"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搅拌楼排气筒</w:t>
            </w:r>
          </w:p>
        </w:tc>
        <w:tc>
          <w:tcPr>
            <w:tcW w:w="822" w:type="pct"/>
            <w:tcBorders>
              <w:top w:val="single" w:color="auto" w:sz="4" w:space="0"/>
              <w:left w:val="single" w:color="auto" w:sz="4" w:space="0"/>
              <w:bottom w:val="single" w:color="auto" w:sz="4" w:space="0"/>
              <w:right w:val="single" w:color="auto" w:sz="4" w:space="0"/>
            </w:tcBorders>
            <w:vAlign w:val="center"/>
          </w:tcPr>
          <w:p>
            <w:pPr>
              <w:pStyle w:val="82"/>
              <w:jc w:val="center"/>
              <w:rPr>
                <w:rFonts w:ascii="Times New Roman" w:hAnsi="Times New Roman" w:cs="Times New Roman"/>
                <w:kern w:val="2"/>
                <w:sz w:val="21"/>
                <w:szCs w:val="21"/>
              </w:rPr>
            </w:pPr>
            <w:r>
              <w:rPr>
                <w:rFonts w:ascii="Times New Roman" w:hAnsi="Times New Roman" w:cs="Times New Roman"/>
                <w:kern w:val="2"/>
                <w:sz w:val="21"/>
                <w:szCs w:val="21"/>
              </w:rPr>
              <w:t>颗粒物</w:t>
            </w:r>
          </w:p>
        </w:tc>
        <w:tc>
          <w:tcPr>
            <w:tcW w:w="1381" w:type="pct"/>
            <w:tcBorders>
              <w:top w:val="single" w:color="auto" w:sz="4" w:space="0"/>
              <w:left w:val="single" w:color="auto" w:sz="4" w:space="0"/>
              <w:bottom w:val="single" w:color="auto" w:sz="4" w:space="0"/>
              <w:right w:val="single" w:color="auto" w:sz="4" w:space="0"/>
            </w:tcBorders>
            <w:vAlign w:val="center"/>
          </w:tcPr>
          <w:p>
            <w:pPr>
              <w:widowControl/>
              <w:jc w:val="center"/>
              <w:rPr>
                <w:rFonts w:cs="Times New Roman"/>
                <w:sz w:val="21"/>
              </w:rPr>
            </w:pPr>
            <w:r>
              <w:rPr>
                <w:rFonts w:cs="Times New Roman"/>
                <w:sz w:val="21"/>
              </w:rPr>
              <w:t>搅拌楼各配置一台脉冲除尘器+30m排气筒</w:t>
            </w:r>
          </w:p>
          <w:p>
            <w:pPr>
              <w:widowControl/>
              <w:jc w:val="center"/>
              <w:rPr>
                <w:rFonts w:cs="Times New Roman"/>
                <w:sz w:val="21"/>
              </w:rPr>
            </w:pPr>
            <w:r>
              <w:rPr>
                <w:rFonts w:cs="Times New Roman"/>
                <w:sz w:val="21"/>
              </w:rPr>
              <w:t>（共2套</w:t>
            </w:r>
            <w:r>
              <w:rPr>
                <w:rFonts w:hint="eastAsia" w:cs="Times New Roman"/>
                <w:sz w:val="21"/>
              </w:rPr>
              <w:t>脉冲除尘器，共用一根排气筒，排气筒的编号为MA001</w:t>
            </w:r>
            <w:r>
              <w:rPr>
                <w:rFonts w:cs="Times New Roman"/>
                <w:sz w:val="21"/>
              </w:rPr>
              <w:t>）</w:t>
            </w:r>
          </w:p>
        </w:tc>
        <w:tc>
          <w:tcPr>
            <w:tcW w:w="1157" w:type="pct"/>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r>
              <w:rPr>
                <w:rFonts w:cs="Times New Roman"/>
                <w:sz w:val="21"/>
              </w:rPr>
              <w:t>满足《水泥工业大气污染物排放标准》（GB4915-2013）表2中规定的排放限值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原料堆场</w:t>
            </w:r>
          </w:p>
        </w:tc>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颗粒物</w:t>
            </w:r>
          </w:p>
        </w:tc>
        <w:tc>
          <w:tcPr>
            <w:tcW w:w="1381"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地面硬化、喷水雾化器</w:t>
            </w:r>
          </w:p>
        </w:tc>
        <w:tc>
          <w:tcPr>
            <w:tcW w:w="1157" w:type="pct"/>
            <w:vMerge w:val="restart"/>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r>
              <w:rPr>
                <w:rFonts w:cs="Times New Roman"/>
                <w:sz w:val="21"/>
              </w:rPr>
              <w:t>满足《水泥工业大气污染物排放标准》（GB4915-2013）表3中规定的排放限值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装卸废气</w:t>
            </w:r>
          </w:p>
        </w:tc>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颗粒物</w:t>
            </w:r>
          </w:p>
        </w:tc>
        <w:tc>
          <w:tcPr>
            <w:tcW w:w="1381"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地面硬化、喷水雾化器</w:t>
            </w:r>
          </w:p>
        </w:tc>
        <w:tc>
          <w:tcPr>
            <w:tcW w:w="1157" w:type="pct"/>
            <w:vMerge w:val="continue"/>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hint="eastAsia" w:hAnsi="宋体" w:eastAsia="宋体" w:cs="Times New Roman"/>
                <w:sz w:val="21"/>
              </w:rPr>
              <w:t>原料筒仓</w:t>
            </w:r>
          </w:p>
        </w:tc>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颗粒物</w:t>
            </w:r>
          </w:p>
        </w:tc>
        <w:tc>
          <w:tcPr>
            <w:tcW w:w="1381"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hint="eastAsia" w:eastAsia="宋体" w:cs="Times New Roman"/>
                <w:sz w:val="21"/>
              </w:rPr>
              <w:t>筒仓各配置一台脉冲除尘器</w:t>
            </w:r>
          </w:p>
        </w:tc>
        <w:tc>
          <w:tcPr>
            <w:tcW w:w="1157" w:type="pct"/>
            <w:vMerge w:val="continue"/>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油烟净化器出口</w:t>
            </w:r>
          </w:p>
        </w:tc>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油烟</w:t>
            </w:r>
          </w:p>
        </w:tc>
        <w:tc>
          <w:tcPr>
            <w:tcW w:w="1381"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油烟净化器+1根15m高排气筒</w:t>
            </w:r>
          </w:p>
        </w:tc>
        <w:tc>
          <w:tcPr>
            <w:tcW w:w="1157" w:type="pct"/>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r>
              <w:rPr>
                <w:rFonts w:cs="Times New Roman"/>
                <w:sz w:val="21"/>
              </w:rPr>
              <w:t>满足《饮食业油烟排放标准（试行）》（GB 18483-2001）表2中规定的排放限值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厂界</w:t>
            </w:r>
          </w:p>
        </w:tc>
        <w:tc>
          <w:tcPr>
            <w:tcW w:w="822"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噪声</w:t>
            </w:r>
          </w:p>
        </w:tc>
        <w:tc>
          <w:tcPr>
            <w:tcW w:w="1381" w:type="pct"/>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color w:val="000000"/>
                <w:sz w:val="21"/>
              </w:rPr>
              <w:t>低噪声设备，基础减振，绿化带，厂房隔声等</w:t>
            </w:r>
          </w:p>
        </w:tc>
        <w:tc>
          <w:tcPr>
            <w:tcW w:w="1157" w:type="pct"/>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r>
              <w:rPr>
                <w:rFonts w:cs="Times New Roman"/>
                <w:sz w:val="21"/>
              </w:rPr>
              <w:t>满足《工业企业厂界环境噪声排放标准》（GB12348-2008）3类及4a类标准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restar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固废</w:t>
            </w:r>
          </w:p>
        </w:tc>
        <w:tc>
          <w:tcPr>
            <w:tcW w:w="1090"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一般固废</w:t>
            </w:r>
          </w:p>
        </w:tc>
        <w:tc>
          <w:tcPr>
            <w:tcW w:w="3361" w:type="pct"/>
            <w:gridSpan w:val="3"/>
            <w:tcBorders>
              <w:top w:val="single" w:color="auto" w:sz="4" w:space="0"/>
              <w:left w:val="single" w:color="auto" w:sz="4" w:space="0"/>
              <w:bottom w:val="single" w:color="auto" w:sz="4" w:space="0"/>
              <w:right w:val="single" w:color="auto" w:sz="8" w:space="0"/>
            </w:tcBorders>
            <w:vAlign w:val="center"/>
          </w:tcPr>
          <w:p>
            <w:pPr>
              <w:jc w:val="center"/>
              <w:rPr>
                <w:rFonts w:hint="eastAsia" w:cs="Times New Roman" w:eastAsiaTheme="minorEastAsia"/>
                <w:sz w:val="21"/>
                <w:lang w:eastAsia="zh-CN"/>
              </w:rPr>
            </w:pPr>
            <w:r>
              <w:rPr>
                <w:rFonts w:cs="Times New Roman"/>
                <w:sz w:val="21"/>
              </w:rPr>
              <w:t>除尘设备收集的粉尘、砂石分离机分离后的砂石、沉淀池沉淀泥砂及实验室废料均回用于生产</w:t>
            </w:r>
            <w:r>
              <w:rPr>
                <w:rFonts w:hint="eastAsia" w:cs="Times New Roman"/>
                <w:sz w:val="21"/>
                <w:lang w:eastAsia="zh-CN"/>
              </w:rPr>
              <w:t>，</w:t>
            </w:r>
            <w:r>
              <w:rPr>
                <w:rFonts w:cs="Times New Roman"/>
                <w:sz w:val="21"/>
              </w:rPr>
              <w:t>含油抹布及手套</w:t>
            </w:r>
            <w:r>
              <w:rPr>
                <w:rFonts w:hint="eastAsia" w:cs="Times New Roman"/>
                <w:sz w:val="21"/>
                <w:lang w:eastAsia="zh-CN"/>
              </w:rPr>
              <w:t>收集后妥善处理。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6"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危险固废</w:t>
            </w:r>
          </w:p>
        </w:tc>
        <w:tc>
          <w:tcPr>
            <w:tcW w:w="3361" w:type="pct"/>
            <w:gridSpan w:val="3"/>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r>
              <w:rPr>
                <w:rFonts w:cs="Times New Roman"/>
                <w:sz w:val="21"/>
              </w:rPr>
              <w:t xml:space="preserve">废润滑油暂存于危废暂存间，定期交给有资质单位处理；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cs="Times New Roman"/>
                <w:color w:val="000000"/>
                <w:sz w:val="21"/>
              </w:rPr>
            </w:pPr>
          </w:p>
        </w:tc>
        <w:tc>
          <w:tcPr>
            <w:tcW w:w="2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cs="Times New Roman"/>
                <w:color w:val="000000"/>
                <w:sz w:val="21"/>
              </w:rPr>
            </w:pPr>
          </w:p>
        </w:tc>
        <w:tc>
          <w:tcPr>
            <w:tcW w:w="1090" w:type="pct"/>
            <w:tcBorders>
              <w:top w:val="single" w:color="auto" w:sz="4" w:space="0"/>
              <w:left w:val="single" w:color="auto" w:sz="4" w:space="0"/>
              <w:bottom w:val="single" w:color="auto" w:sz="4" w:space="0"/>
              <w:right w:val="single" w:color="auto" w:sz="4" w:space="0"/>
            </w:tcBorders>
            <w:vAlign w:val="center"/>
          </w:tcPr>
          <w:p>
            <w:pPr>
              <w:pStyle w:val="121"/>
              <w:rPr>
                <w:rFonts w:ascii="Times New Roman" w:hAnsi="Times New Roman" w:eastAsiaTheme="minorEastAsia"/>
                <w:szCs w:val="21"/>
              </w:rPr>
            </w:pPr>
            <w:r>
              <w:rPr>
                <w:rFonts w:ascii="Times New Roman" w:hAnsi="Times New Roman" w:eastAsiaTheme="minorEastAsia"/>
                <w:szCs w:val="21"/>
              </w:rPr>
              <w:t>生活垃圾</w:t>
            </w:r>
          </w:p>
        </w:tc>
        <w:tc>
          <w:tcPr>
            <w:tcW w:w="2204" w:type="pct"/>
            <w:gridSpan w:val="2"/>
            <w:tcBorders>
              <w:top w:val="single" w:color="auto" w:sz="4" w:space="0"/>
              <w:left w:val="single" w:color="auto" w:sz="4" w:space="0"/>
              <w:bottom w:val="single" w:color="auto" w:sz="4" w:space="0"/>
              <w:right w:val="single" w:color="auto" w:sz="4" w:space="0"/>
            </w:tcBorders>
            <w:vAlign w:val="center"/>
          </w:tcPr>
          <w:p>
            <w:pPr>
              <w:jc w:val="center"/>
              <w:rPr>
                <w:rFonts w:cs="Times New Roman"/>
                <w:sz w:val="21"/>
              </w:rPr>
            </w:pPr>
            <w:r>
              <w:rPr>
                <w:rFonts w:cs="Times New Roman"/>
                <w:sz w:val="21"/>
              </w:rPr>
              <w:t>统一收集后交由环卫部门处理</w:t>
            </w:r>
          </w:p>
        </w:tc>
        <w:tc>
          <w:tcPr>
            <w:tcW w:w="1157" w:type="pct"/>
            <w:tcBorders>
              <w:top w:val="single" w:color="auto" w:sz="4" w:space="0"/>
              <w:left w:val="single" w:color="auto" w:sz="4" w:space="0"/>
              <w:bottom w:val="single" w:color="auto" w:sz="4" w:space="0"/>
              <w:right w:val="single" w:color="auto" w:sz="8" w:space="0"/>
            </w:tcBorders>
            <w:vAlign w:val="center"/>
          </w:tcPr>
          <w:p>
            <w:pPr>
              <w:jc w:val="center"/>
              <w:rPr>
                <w:rFonts w:cs="Times New Roman"/>
                <w:sz w:val="21"/>
              </w:rPr>
            </w:pPr>
            <w:r>
              <w:rPr>
                <w:rFonts w:cs="Times New Roman"/>
                <w:sz w:val="21"/>
              </w:rPr>
              <w:t>统一收集后交由环卫部门处理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6"/>
            <w:tcBorders>
              <w:top w:val="single" w:color="auto" w:sz="4" w:space="0"/>
              <w:left w:val="single" w:color="auto" w:sz="8" w:space="0"/>
              <w:bottom w:val="single" w:color="auto" w:sz="8" w:space="0"/>
              <w:right w:val="single" w:color="auto" w:sz="8" w:space="0"/>
            </w:tcBorders>
            <w:vAlign w:val="center"/>
          </w:tcPr>
          <w:p>
            <w:pPr>
              <w:jc w:val="left"/>
              <w:rPr>
                <w:rFonts w:cs="Times New Roman"/>
                <w:b/>
                <w:bCs/>
                <w:sz w:val="21"/>
              </w:rPr>
            </w:pPr>
            <w:r>
              <w:rPr>
                <w:rFonts w:cs="Times New Roman"/>
                <w:b/>
                <w:bCs/>
                <w:sz w:val="21"/>
              </w:rPr>
              <w:t>生态保护措施及预期治理效果：</w:t>
            </w:r>
          </w:p>
          <w:p>
            <w:pPr>
              <w:spacing w:line="360" w:lineRule="auto"/>
              <w:ind w:firstLine="420" w:firstLineChars="200"/>
              <w:jc w:val="left"/>
              <w:rPr>
                <w:rFonts w:cs="Times New Roman"/>
                <w:sz w:val="21"/>
              </w:rPr>
            </w:pPr>
            <w:r>
              <w:rPr>
                <w:rFonts w:cs="Times New Roman"/>
                <w:sz w:val="21"/>
              </w:rPr>
              <w:t>本项目为新建，项目周围空闲地带有少量绿化，可改善和美化环境。建设单位切实做好本环评提出的防治措施，对各种污染物进行有效的治理，可将污染物对周围生态环境影响降至最低。周围无生态敏感点，不涉及野生动植物。因此，本项目的建设对生态环境影响较小。</w:t>
            </w:r>
          </w:p>
        </w:tc>
      </w:tr>
    </w:tbl>
    <w:p>
      <w:pPr>
        <w:pStyle w:val="4"/>
        <w:rPr>
          <w:rFonts w:cs="Times New Roman" w:eastAsiaTheme="minorEastAsia"/>
          <w:color w:val="000000" w:themeColor="text1"/>
        </w:rPr>
      </w:pPr>
      <w:bookmarkStart w:id="23" w:name="_Toc6226"/>
      <w:r>
        <w:rPr>
          <w:rFonts w:cs="Times New Roman" w:eastAsiaTheme="minorEastAsia"/>
          <w:color w:val="000000" w:themeColor="text1"/>
        </w:rPr>
        <w:t>结论与建议</w:t>
      </w:r>
      <w:bookmarkEnd w:id="23"/>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4" w:hRule="atLeast"/>
        </w:trPr>
        <w:tc>
          <w:tcPr>
            <w:tcW w:w="5000" w:type="pct"/>
          </w:tcPr>
          <w:p>
            <w:pPr>
              <w:pStyle w:val="6"/>
              <w:rPr>
                <w:rFonts w:hint="default" w:ascii="Times New Roman" w:hAnsi="Times New Roman" w:cs="Times New Roman"/>
                <w:b/>
                <w:bCs/>
                <w:color w:val="000000" w:themeColor="text1"/>
              </w:rPr>
            </w:pPr>
            <w:r>
              <w:rPr>
                <w:rFonts w:hint="default" w:ascii="Times New Roman" w:hAnsi="Times New Roman" w:cs="Times New Roman"/>
                <w:b/>
                <w:bCs/>
                <w:color w:val="000000" w:themeColor="text1"/>
              </w:rPr>
              <w:t>项目概况</w:t>
            </w:r>
          </w:p>
          <w:p>
            <w:pPr>
              <w:adjustRightInd w:val="0"/>
              <w:snapToGrid w:val="0"/>
              <w:spacing w:line="360" w:lineRule="auto"/>
              <w:ind w:firstLine="480" w:firstLineChars="200"/>
              <w:rPr>
                <w:rFonts w:hint="default" w:ascii="Times New Roman" w:hAnsi="Times New Roman" w:cs="Times New Roman"/>
                <w:color w:val="000000" w:themeColor="text1"/>
                <w:szCs w:val="24"/>
              </w:rPr>
            </w:pPr>
            <w:r>
              <w:rPr>
                <w:rFonts w:hint="default" w:ascii="Times New Roman" w:hAnsi="Times New Roman" w:cs="Times New Roman"/>
                <w:color w:val="000000" w:themeColor="text1"/>
                <w:szCs w:val="24"/>
              </w:rPr>
              <w:t>湖南岳阳南方新材料科技有限公司投资8002.48万元建设湖南岳阳南方新材料科技有限公司宏源分公司异地搬迁项目。主要建设内容为环保混凝土生产线2条，年生产90万m</w:t>
            </w:r>
            <w:r>
              <w:rPr>
                <w:rFonts w:hint="default" w:ascii="Times New Roman" w:hAnsi="Times New Roman" w:cs="Times New Roman"/>
                <w:color w:val="000000" w:themeColor="text1"/>
                <w:szCs w:val="24"/>
                <w:vertAlign w:val="superscript"/>
              </w:rPr>
              <w:t>3</w:t>
            </w:r>
            <w:r>
              <w:rPr>
                <w:rFonts w:hint="default" w:ascii="Times New Roman" w:hAnsi="Times New Roman" w:cs="Times New Roman"/>
                <w:color w:val="000000" w:themeColor="text1"/>
                <w:szCs w:val="24"/>
              </w:rPr>
              <w:t>的商品混凝土，建设地点位于湖南省岳阳市临港新区长江大道东侧，江一路南侧。本项目占地</w:t>
            </w:r>
            <w:r>
              <w:rPr>
                <w:rFonts w:hint="default" w:ascii="Times New Roman" w:hAnsi="Times New Roman" w:cs="Times New Roman"/>
                <w:color w:val="000000" w:themeColor="text1"/>
              </w:rPr>
              <w:t>17438.23m</w:t>
            </w:r>
            <w:r>
              <w:rPr>
                <w:rFonts w:hint="default" w:ascii="Times New Roman" w:hAnsi="Times New Roman" w:cs="Times New Roman"/>
                <w:color w:val="000000" w:themeColor="text1"/>
                <w:vertAlign w:val="superscript"/>
              </w:rPr>
              <w:t>2</w:t>
            </w:r>
            <w:r>
              <w:rPr>
                <w:rFonts w:hint="default" w:ascii="Times New Roman" w:hAnsi="Times New Roman" w:cs="Times New Roman"/>
                <w:color w:val="000000" w:themeColor="text1"/>
              </w:rPr>
              <w:t>，项目劳动人员为28人。</w:t>
            </w:r>
          </w:p>
          <w:p>
            <w:pPr>
              <w:pStyle w:val="6"/>
              <w:adjustRightInd w:val="0"/>
              <w:snapToGrid w:val="0"/>
              <w:rPr>
                <w:rFonts w:hint="default" w:ascii="Times New Roman" w:hAnsi="Times New Roman" w:cs="Times New Roman"/>
                <w:b/>
                <w:bCs/>
                <w:color w:val="000000" w:themeColor="text1"/>
              </w:rPr>
            </w:pPr>
            <w:r>
              <w:rPr>
                <w:rFonts w:hint="default" w:ascii="Times New Roman" w:hAnsi="Times New Roman" w:cs="Times New Roman"/>
                <w:b/>
                <w:bCs/>
                <w:color w:val="000000" w:themeColor="text1"/>
              </w:rPr>
              <w:t>环境质量现状分析结论</w:t>
            </w:r>
          </w:p>
          <w:p>
            <w:pPr>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（1）环境空气质量现状</w:t>
            </w:r>
          </w:p>
          <w:p>
            <w:pPr>
              <w:adjustRightInd w:val="0"/>
              <w:snapToGrid w:val="0"/>
              <w:spacing w:line="360" w:lineRule="auto"/>
              <w:ind w:firstLine="480" w:firstLineChars="200"/>
              <w:rPr>
                <w:rFonts w:hint="default" w:ascii="Times New Roman" w:hAnsi="Times New Roman" w:cs="Times New Roman"/>
                <w:color w:val="000000"/>
                <w:szCs w:val="24"/>
              </w:rPr>
            </w:pPr>
            <w:r>
              <w:rPr>
                <w:rFonts w:hint="default" w:ascii="Times New Roman" w:hAnsi="Times New Roman" w:cs="Times New Roman"/>
                <w:szCs w:val="24"/>
              </w:rPr>
              <w:t>环境空气质量现状：本次评价引用国家环境空气质量监测网城陵矶站201</w:t>
            </w:r>
            <w:r>
              <w:rPr>
                <w:rFonts w:hint="eastAsia" w:cs="Times New Roman"/>
                <w:szCs w:val="24"/>
                <w:lang w:val="en-US" w:eastAsia="zh-CN"/>
              </w:rPr>
              <w:t>9</w:t>
            </w:r>
            <w:r>
              <w:rPr>
                <w:rFonts w:hint="default" w:ascii="Times New Roman" w:hAnsi="Times New Roman" w:cs="Times New Roman"/>
                <w:szCs w:val="24"/>
              </w:rPr>
              <w:t>的数据，数据表明，项目评价范围内SO</w:t>
            </w:r>
            <w:r>
              <w:rPr>
                <w:rFonts w:hint="default" w:ascii="Times New Roman" w:hAnsi="Times New Roman" w:cs="Times New Roman"/>
                <w:szCs w:val="24"/>
                <w:vertAlign w:val="subscript"/>
              </w:rPr>
              <w:t>2</w:t>
            </w:r>
            <w:r>
              <w:rPr>
                <w:rFonts w:hint="default" w:ascii="Times New Roman" w:hAnsi="Times New Roman" w:cs="Times New Roman"/>
                <w:szCs w:val="24"/>
              </w:rPr>
              <w:t>、NO</w:t>
            </w:r>
            <w:r>
              <w:rPr>
                <w:rFonts w:hint="default" w:ascii="Times New Roman" w:hAnsi="Times New Roman" w:cs="Times New Roman"/>
                <w:szCs w:val="24"/>
                <w:vertAlign w:val="subscript"/>
              </w:rPr>
              <w:t>2</w:t>
            </w:r>
            <w:r>
              <w:rPr>
                <w:rFonts w:hint="default" w:ascii="Times New Roman" w:hAnsi="Times New Roman" w:cs="Times New Roman"/>
                <w:szCs w:val="24"/>
              </w:rPr>
              <w:t>、PM</w:t>
            </w:r>
            <w:r>
              <w:rPr>
                <w:rFonts w:hint="default" w:ascii="Times New Roman" w:hAnsi="Times New Roman" w:cs="Times New Roman"/>
                <w:szCs w:val="24"/>
                <w:vertAlign w:val="subscript"/>
              </w:rPr>
              <w:t>10</w:t>
            </w:r>
            <w:r>
              <w:rPr>
                <w:rFonts w:hint="default" w:ascii="Times New Roman" w:hAnsi="Times New Roman" w:cs="Times New Roman"/>
                <w:szCs w:val="24"/>
              </w:rPr>
              <w:t>、CO、O</w:t>
            </w:r>
            <w:r>
              <w:rPr>
                <w:rFonts w:hint="default" w:ascii="Times New Roman" w:hAnsi="Times New Roman" w:cs="Times New Roman"/>
                <w:szCs w:val="24"/>
                <w:vertAlign w:val="subscript"/>
              </w:rPr>
              <w:t>3</w:t>
            </w:r>
            <w:r>
              <w:rPr>
                <w:rFonts w:hint="default" w:ascii="Times New Roman" w:hAnsi="Times New Roman" w:cs="Times New Roman"/>
                <w:szCs w:val="24"/>
              </w:rPr>
              <w:t>均符合《环境空气质量标准》（GB3095-2012）中的二级标准的要求，PM</w:t>
            </w:r>
            <w:r>
              <w:rPr>
                <w:rFonts w:hint="default" w:ascii="Times New Roman" w:hAnsi="Times New Roman" w:cs="Times New Roman"/>
                <w:szCs w:val="24"/>
                <w:vertAlign w:val="subscript"/>
              </w:rPr>
              <w:t>2.5</w:t>
            </w:r>
            <w:r>
              <w:rPr>
                <w:rFonts w:hint="default" w:ascii="Times New Roman" w:hAnsi="Times New Roman" w:cs="Times New Roman"/>
                <w:szCs w:val="24"/>
              </w:rPr>
              <w:t>超过《环境空气质量标准》（GB3095-2012）中的二级标准的要求。</w:t>
            </w:r>
            <w:r>
              <w:rPr>
                <w:rFonts w:hint="default" w:ascii="Times New Roman" w:hAnsi="Times New Roman" w:cs="Times New Roman"/>
                <w:color w:val="000000"/>
                <w:szCs w:val="24"/>
              </w:rPr>
              <w:t>故本项目所在区域201</w:t>
            </w:r>
            <w:r>
              <w:rPr>
                <w:rFonts w:hint="eastAsia" w:cs="Times New Roman"/>
                <w:color w:val="000000"/>
                <w:szCs w:val="24"/>
                <w:lang w:val="en-US" w:eastAsia="zh-CN"/>
              </w:rPr>
              <w:t>9</w:t>
            </w:r>
            <w:r>
              <w:rPr>
                <w:rFonts w:hint="default" w:ascii="Times New Roman" w:hAnsi="Times New Roman" w:cs="Times New Roman"/>
                <w:color w:val="000000"/>
                <w:szCs w:val="24"/>
              </w:rPr>
              <w:t>年为环境空气质量不达标区，不达标因子为PM</w:t>
            </w:r>
            <w:r>
              <w:rPr>
                <w:rFonts w:hint="default" w:ascii="Times New Roman" w:hAnsi="Times New Roman" w:cs="Times New Roman"/>
                <w:color w:val="000000"/>
                <w:szCs w:val="24"/>
                <w:vertAlign w:val="subscript"/>
              </w:rPr>
              <w:t>2.5</w:t>
            </w:r>
            <w:r>
              <w:rPr>
                <w:rFonts w:hint="default" w:ascii="Times New Roman" w:hAnsi="Times New Roman" w:cs="Times New Roman"/>
                <w:color w:val="000000"/>
                <w:szCs w:val="24"/>
              </w:rPr>
              <w:t>。</w:t>
            </w:r>
          </w:p>
          <w:p>
            <w:pPr>
              <w:keepNext/>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为了解本项目特征因子颗粒物环境空气质量现状，本项目引用富强科技股份有限公司《富强科技建材产业示范园建设项目（一期）》的环境影响报告表中特征因子TSP的监测数据，由监测数据可知，总悬浮颗粒物浓度符合《环境空气质量标准》（GB3095-2012）表2限值要求。</w:t>
            </w:r>
          </w:p>
          <w:p>
            <w:pPr>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（2）地表水环境质量现状</w:t>
            </w:r>
          </w:p>
          <w:p>
            <w:pPr>
              <w:pStyle w:val="152"/>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本次环评引用岳阳市环境监测站2019年1月及</w:t>
            </w:r>
            <w:r>
              <w:rPr>
                <w:rFonts w:hint="default" w:ascii="Times New Roman" w:hAnsi="Times New Roman" w:eastAsia="宋体" w:cs="Times New Roman"/>
                <w:color w:val="auto"/>
                <w:sz w:val="24"/>
                <w:szCs w:val="24"/>
                <w:lang w:val="en-US" w:eastAsia="zh-CN"/>
              </w:rPr>
              <w:t>12</w:t>
            </w:r>
            <w:r>
              <w:rPr>
                <w:rFonts w:hint="default" w:ascii="Times New Roman" w:hAnsi="Times New Roman" w:cs="Times New Roman"/>
                <w:color w:val="auto"/>
                <w:sz w:val="24"/>
                <w:szCs w:val="24"/>
              </w:rPr>
              <w:t>月对长江道仁矶、陆城断面以及松阳湖进行的地表水环境常规监测的数据，数据表明，长江道仁矶断面监测结果符合《地表水环境质量标准》（GB3838—2002）中Ⅲ类水质功能标准，松阳湖监测因子除COD、五日生化需氧量、TP</w:t>
            </w:r>
            <w:r>
              <w:rPr>
                <w:rFonts w:hint="default" w:ascii="Times New Roman" w:hAnsi="Times New Roman" w:cs="Times New Roman"/>
                <w:color w:val="auto"/>
                <w:sz w:val="24"/>
                <w:szCs w:val="24"/>
                <w:lang w:eastAsia="zh-CN"/>
              </w:rPr>
              <w:t>超标外，其余都能满足《地表水环境质量标准》</w:t>
            </w:r>
            <w:r>
              <w:rPr>
                <w:rFonts w:hint="default" w:ascii="Times New Roman" w:hAnsi="Times New Roman" w:cs="Times New Roman"/>
                <w:color w:val="auto"/>
                <w:sz w:val="24"/>
                <w:szCs w:val="24"/>
                <w:lang w:val="en-US" w:eastAsia="zh-CN"/>
              </w:rPr>
              <w:t>（GB3838-2002）中Ⅳ类标准要求。</w:t>
            </w:r>
          </w:p>
          <w:p>
            <w:pPr>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（3）声环境质量现状</w:t>
            </w:r>
          </w:p>
          <w:p>
            <w:pPr>
              <w:pStyle w:val="152"/>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委托湖南谱实检测技术有限公司于9月27日~9月28日分昼间、夜间对项目厂界四周进行了连续监测，从监测数据可知，项目地东面、南面、西面声环境昼间、夜间均能达到了《声环境质量标准》（GB3096—2008）中的3类标准要求；项目的北面环境昼间、夜间均能达到《声环境质量标准》（GB3096—2008）中4a类标准要求；项目北侧70m处居民点环境昼间、夜间均能达到《声环境质量标准》（GB3096—2008）中2类标准要求。</w:t>
            </w:r>
          </w:p>
          <w:p>
            <w:pPr>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（4）地下水环境质量现状</w:t>
            </w:r>
          </w:p>
          <w:p>
            <w:pPr>
              <w:pStyle w:val="82"/>
              <w:snapToGrid w:val="0"/>
              <w:spacing w:line="360" w:lineRule="auto"/>
              <w:ind w:firstLine="480"/>
              <w:rPr>
                <w:rFonts w:hint="default" w:ascii="Times New Roman" w:hAnsi="Times New Roman" w:cs="Times New Roman"/>
                <w:kern w:val="2"/>
              </w:rPr>
            </w:pPr>
            <w:r>
              <w:rPr>
                <w:rFonts w:hint="default" w:ascii="Times New Roman" w:hAnsi="Times New Roman" w:cs="Times New Roman"/>
                <w:kern w:val="2"/>
              </w:rPr>
              <w:t>根据《环境影响评价技术导则 地下水环境》（HJ 610-2016）中附录A项目类别可知，本项目为IV类项目。不需要进行地下水评价。本环评要求建设单位对厂区地面进行一般防渗处理，以防对地下水环境造成影响。</w:t>
            </w:r>
          </w:p>
          <w:p>
            <w:pPr>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（5）土壤环境质量现状</w:t>
            </w:r>
          </w:p>
          <w:p>
            <w:pPr>
              <w:adjustRightInd w:val="0"/>
              <w:snapToGrid w:val="0"/>
              <w:spacing w:line="360" w:lineRule="auto"/>
              <w:ind w:firstLine="480"/>
              <w:rPr>
                <w:rFonts w:hint="default" w:ascii="Times New Roman" w:hAnsi="Times New Roman" w:cs="Times New Roman"/>
                <w:color w:val="000000" w:themeColor="text1"/>
                <w:kern w:val="0"/>
                <w:szCs w:val="24"/>
              </w:rPr>
            </w:pPr>
            <w:r>
              <w:rPr>
                <w:rFonts w:hint="default" w:ascii="Times New Roman" w:hAnsi="Times New Roman" w:cs="Times New Roman"/>
                <w:color w:val="000000" w:themeColor="text1"/>
                <w:kern w:val="0"/>
                <w:szCs w:val="24"/>
              </w:rPr>
              <w:t>根据《环境影响评价技术导则 土壤环境（试行）》（HJ 964-2018）中附录A项目类别可知，本项目为Ⅲ类项目，项目占地面积为</w:t>
            </w:r>
            <w:r>
              <w:rPr>
                <w:rFonts w:hint="default" w:ascii="Times New Roman" w:hAnsi="Times New Roman" w:cs="Times New Roman"/>
                <w:color w:val="000000" w:themeColor="text1"/>
              </w:rPr>
              <w:t>17438.23m</w:t>
            </w:r>
            <w:r>
              <w:rPr>
                <w:rFonts w:hint="default" w:ascii="Times New Roman" w:hAnsi="Times New Roman" w:cs="Times New Roman"/>
                <w:color w:val="000000" w:themeColor="text1"/>
                <w:vertAlign w:val="superscript"/>
              </w:rPr>
              <w:t>2</w:t>
            </w:r>
            <w:r>
              <w:rPr>
                <w:rFonts w:hint="default" w:ascii="Times New Roman" w:hAnsi="Times New Roman" w:cs="Times New Roman"/>
                <w:color w:val="000000" w:themeColor="text1"/>
                <w:kern w:val="0"/>
                <w:szCs w:val="24"/>
              </w:rPr>
              <w:t>（</w:t>
            </w:r>
            <w:r>
              <w:rPr>
                <w:rFonts w:hint="default" w:ascii="Times New Roman" w:hAnsi="Times New Roman" w:cs="Times New Roman"/>
                <w:snapToGrid w:val="0"/>
              </w:rPr>
              <w:t>1.74hm</w:t>
            </w:r>
            <w:r>
              <w:rPr>
                <w:rFonts w:hint="default" w:ascii="Times New Roman" w:hAnsi="Times New Roman" w:cs="Times New Roman"/>
                <w:snapToGrid w:val="0"/>
                <w:vertAlign w:val="superscript"/>
              </w:rPr>
              <w:t>2</w:t>
            </w:r>
            <w:r>
              <w:rPr>
                <w:rFonts w:hint="default" w:ascii="Times New Roman" w:hAnsi="Times New Roman" w:cs="Times New Roman"/>
                <w:color w:val="000000" w:themeColor="text1"/>
                <w:kern w:val="0"/>
                <w:szCs w:val="24"/>
              </w:rPr>
              <w:t>）为小型建设项目占地规模，周边无环境敏感目标，项目评价范围内土壤敏感程度为“不敏感”。因此，根据导则表4，本环评可不开展土壤环境影响评价。</w:t>
            </w:r>
          </w:p>
          <w:p>
            <w:pPr>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（6）生态环境现状</w:t>
            </w:r>
          </w:p>
          <w:p>
            <w:pPr>
              <w:adjustRightInd w:val="0"/>
              <w:snapToGrid w:val="0"/>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评价区位于城市地区，经走访了解到，评价区无大型动物，动物以城市生态系统常见动 物为主，比如：田鼠、蛇等。主要经济鱼类有草、青、鲢、鳙、鲤等；主要爬行动物有鳖、 乌龟、蟹等；主要家畜有牛、猪、羊等；主要家禽有鸡、鸭、鹅等。现场调查及走访未在项 目区附近范围内发现珍惜保护动物或地方特有动物。项目地周围植被多以草皮，城市绿化道， 如灌木、乔木、常绿松柏类等。</w:t>
            </w:r>
          </w:p>
          <w:p>
            <w:pPr>
              <w:pStyle w:val="6"/>
              <w:adjustRightInd w:val="0"/>
              <w:snapToGrid w:val="0"/>
              <w:rPr>
                <w:rFonts w:hint="default" w:ascii="Times New Roman" w:hAnsi="Times New Roman" w:cs="Times New Roman"/>
              </w:rPr>
            </w:pPr>
            <w:r>
              <w:rPr>
                <w:rFonts w:hint="default" w:ascii="Times New Roman" w:hAnsi="Times New Roman" w:cs="Times New Roman"/>
              </w:rPr>
              <w:t>环境影响分析</w:t>
            </w:r>
          </w:p>
          <w:p>
            <w:pPr>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（1）水环境影响分析</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szCs w:val="24"/>
              </w:rPr>
              <w:t>本项目产生废水主要为生产废水及生活废水，生产废水经沉淀池沉淀处理后循环使用不外排；生活废水经隔油池及化粪池处理后通过市政管网进入湖南城陵矶临港产业新区污水处理厂处理达标后外排长江。</w:t>
            </w:r>
          </w:p>
          <w:p>
            <w:pPr>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（2）大气环境影响分析</w:t>
            </w:r>
          </w:p>
          <w:p>
            <w:pPr>
              <w:adjustRightInd w:val="0"/>
              <w:snapToGrid w:val="0"/>
              <w:spacing w:line="360" w:lineRule="auto"/>
              <w:ind w:firstLine="480" w:firstLineChars="200"/>
              <w:jc w:val="left"/>
              <w:rPr>
                <w:rFonts w:hint="default" w:ascii="Times New Roman" w:hAnsi="Times New Roman" w:cs="Times New Roman"/>
                <w:color w:val="000000" w:themeColor="text1"/>
                <w:kern w:val="0"/>
                <w:szCs w:val="24"/>
              </w:rPr>
            </w:pPr>
            <w:r>
              <w:rPr>
                <w:rFonts w:hint="default" w:ascii="Times New Roman" w:hAnsi="Times New Roman" w:cs="Times New Roman"/>
                <w:color w:val="000000" w:themeColor="text1"/>
                <w:kern w:val="0"/>
                <w:szCs w:val="24"/>
              </w:rPr>
              <w:t>本项目各生产线的搅拌机产生的粉尘经脉冲除尘器处理后通过30m排气筒排放；有组织粉尘均满足《水泥工业大气污染物排放标准》（GB4915-2013）表2中规定的排放限值；原料卸料粉尘、堆场扬尘和原料筒仓粉尘属于无组织排放，需将地面需硬化，再通过洒水降尘措施来减少粉尘量；经预测后，无组织废气排放满足《水泥工业大气污染物排放标准》（GB4915-2013）表3中规定的排放限值。运输扬尘及汽车尾气产生量较少，属于无组织间歇性排放，通过洒水降尘措施来减少粉尘量，且在经过厂区绿化带的植被净化削减下及大气扩散作用下，对环境的影响较小。本项目设置</w:t>
            </w:r>
            <w:r>
              <w:rPr>
                <w:rFonts w:hint="default" w:ascii="Times New Roman" w:hAnsi="Times New Roman" w:cs="Times New Roman"/>
                <w:color w:val="000000" w:themeColor="text1"/>
              </w:rPr>
              <w:t>1台单机容量250kw的发电机，</w:t>
            </w:r>
            <w:r>
              <w:rPr>
                <w:rFonts w:hint="default" w:ascii="Times New Roman" w:hAnsi="Times New Roman" w:cs="Times New Roman"/>
                <w:color w:val="000000" w:themeColor="text1"/>
                <w:kern w:val="0"/>
              </w:rPr>
              <w:t>发电机尾气拟由内置专用烟道引至发电机房所在构筑物楼顶排放。</w:t>
            </w:r>
            <w:r>
              <w:rPr>
                <w:rFonts w:hint="default" w:ascii="Times New Roman" w:hAnsi="Times New Roman" w:cs="Times New Roman"/>
                <w:color w:val="000000" w:themeColor="text1"/>
              </w:rPr>
              <w:t>能够满足《非道路移动机械用柴油机排气污染物排放限值及测量方法(中国第三、四阶段）》(GB 20891-2014)中第三阶段标准要求</w:t>
            </w:r>
            <w:r>
              <w:rPr>
                <w:rFonts w:hint="default" w:ascii="Times New Roman" w:hAnsi="Times New Roman" w:cs="Times New Roman"/>
                <w:color w:val="000000" w:themeColor="text1"/>
                <w:kern w:val="0"/>
              </w:rPr>
              <w:t>。</w:t>
            </w:r>
            <w:r>
              <w:rPr>
                <w:rFonts w:hint="default" w:ascii="Times New Roman" w:hAnsi="Times New Roman" w:cs="Times New Roman"/>
                <w:color w:val="000000" w:themeColor="text1"/>
                <w:kern w:val="0"/>
                <w:szCs w:val="24"/>
              </w:rPr>
              <w:t xml:space="preserve"> </w:t>
            </w:r>
          </w:p>
          <w:p>
            <w:pPr>
              <w:pStyle w:val="80"/>
              <w:adjustRightInd w:val="0"/>
              <w:snapToGrid w:val="0"/>
              <w:ind w:firstLine="470" w:firstLineChars="196"/>
              <w:rPr>
                <w:rFonts w:hint="default" w:ascii="Times New Roman" w:hAnsi="Times New Roman" w:cs="Times New Roman"/>
                <w:color w:val="000000" w:themeColor="text1"/>
                <w:kern w:val="2"/>
              </w:rPr>
            </w:pPr>
            <w:r>
              <w:rPr>
                <w:rFonts w:hint="default" w:ascii="Times New Roman" w:hAnsi="Times New Roman" w:cs="Times New Roman"/>
                <w:color w:val="000000" w:themeColor="text1"/>
                <w:kern w:val="2"/>
              </w:rPr>
              <w:t>（3）声环境影响分析</w:t>
            </w:r>
          </w:p>
          <w:p>
            <w:pPr>
              <w:adjustRightInd w:val="0"/>
              <w:snapToGrid w:val="0"/>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项目主要噪声源为生产设备运行过程产生的机械噪声及进出车辆噪声，通过选用低噪声设备，对</w:t>
            </w:r>
            <w:r>
              <w:rPr>
                <w:rFonts w:hint="default" w:ascii="Times New Roman" w:hAnsi="Times New Roman" w:cs="Times New Roman"/>
                <w:kern w:val="0"/>
                <w:szCs w:val="24"/>
              </w:rPr>
              <w:t>设备采取</w:t>
            </w:r>
            <w:r>
              <w:rPr>
                <w:rFonts w:hint="default" w:ascii="Times New Roman" w:hAnsi="Times New Roman" w:cs="Times New Roman"/>
                <w:szCs w:val="24"/>
              </w:rPr>
              <w:t>减震处理、厂区设置绿化带及厂房隔声等措施后</w:t>
            </w:r>
            <w:r>
              <w:rPr>
                <w:rFonts w:hint="default" w:ascii="Times New Roman" w:hAnsi="Times New Roman" w:cs="Times New Roman"/>
                <w:kern w:val="0"/>
                <w:szCs w:val="24"/>
              </w:rPr>
              <w:t>，</w:t>
            </w:r>
            <w:r>
              <w:rPr>
                <w:rFonts w:hint="default" w:ascii="Times New Roman" w:hAnsi="Times New Roman" w:cs="Times New Roman"/>
                <w:szCs w:val="24"/>
              </w:rPr>
              <w:t>运营后项目北面厂界噪声均能达到《工业企业厂界环境噪声排放标准》（GB12348-2008）的4a类，东面、南面、西面厂界噪声均能达到《工业企业厂界环境噪声排放标准》（GB12348-2008）的3类排放标准的要求，不会对周围环境产生影响。</w:t>
            </w:r>
          </w:p>
          <w:p>
            <w:pPr>
              <w:adjustRightInd w:val="0"/>
              <w:snapToGrid w:val="0"/>
              <w:spacing w:line="360"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（4）固体废物环境分析结论</w:t>
            </w:r>
          </w:p>
          <w:p>
            <w:pPr>
              <w:adjustRightInd w:val="0"/>
              <w:snapToGrid w:val="0"/>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本项目废润滑油暂存于危废暂存间，定期交给有资质的单位处理；除尘设备收集的粉尘、砂石分离机分离后的砂石、沉淀池沉淀泥砂以及实验室废料均回用于生产；生活垃圾统一收集后交由环卫部门处理。</w:t>
            </w:r>
          </w:p>
          <w:p>
            <w:pPr>
              <w:adjustRightInd w:val="0"/>
              <w:snapToGrid w:val="0"/>
              <w:spacing w:line="360" w:lineRule="auto"/>
              <w:ind w:firstLine="480" w:firstLineChars="200"/>
              <w:rPr>
                <w:rFonts w:hint="default" w:ascii="Times New Roman" w:hAnsi="Times New Roman" w:cs="Times New Roman"/>
                <w:sz w:val="21"/>
              </w:rPr>
            </w:pPr>
            <w:r>
              <w:rPr>
                <w:rFonts w:hint="default" w:ascii="Times New Roman" w:hAnsi="Times New Roman" w:cs="Times New Roman"/>
                <w:szCs w:val="24"/>
              </w:rPr>
              <w:t>采取上述措施后，项目固废处置率100%，不会成为区域新污染源。</w:t>
            </w:r>
          </w:p>
          <w:p>
            <w:pPr>
              <w:pStyle w:val="6"/>
              <w:rPr>
                <w:rFonts w:hint="default" w:ascii="Times New Roman" w:hAnsi="Times New Roman" w:cs="Times New Roman"/>
                <w:b/>
              </w:rPr>
            </w:pPr>
            <w:r>
              <w:rPr>
                <w:rFonts w:hint="default" w:ascii="Times New Roman" w:hAnsi="Times New Roman" w:cs="Times New Roman"/>
                <w:b/>
              </w:rPr>
              <w:t>产业政策符合性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Cs w:val="24"/>
              </w:rPr>
            </w:pPr>
            <w:r>
              <w:rPr>
                <w:rFonts w:hint="default" w:ascii="Times New Roman" w:hAnsi="Times New Roman" w:cs="Times New Roman"/>
                <w:szCs w:val="24"/>
              </w:rPr>
              <w:t>本项目不属于《产业结构调整指导目录》（2019年本）中</w:t>
            </w:r>
            <w:r>
              <w:rPr>
                <w:rFonts w:hint="default" w:ascii="Times New Roman" w:hAnsi="Times New Roman" w:cs="Times New Roman"/>
              </w:rPr>
              <w:t>的</w:t>
            </w:r>
            <w:r>
              <w:rPr>
                <w:rFonts w:hint="default" w:ascii="Times New Roman" w:hAnsi="Times New Roman" w:cs="Times New Roman"/>
                <w:szCs w:val="24"/>
              </w:rPr>
              <w:t>鼓励类、淘汰类、限制类，视为允许类。因此本项目的建设符合国家现行产业政策要求。</w:t>
            </w:r>
          </w:p>
          <w:p>
            <w:pPr>
              <w:pStyle w:val="7"/>
              <w:rPr>
                <w:rFonts w:hint="default" w:ascii="Times New Roman" w:hAnsi="Times New Roman" w:cs="Times New Roman" w:eastAsiaTheme="minorEastAsia"/>
                <w:color w:val="000000" w:themeColor="text1"/>
              </w:rPr>
            </w:pPr>
            <w:r>
              <w:rPr>
                <w:rFonts w:hint="default" w:ascii="Times New Roman" w:hAnsi="Times New Roman" w:cs="Times New Roman" w:eastAsiaTheme="minorEastAsia"/>
                <w:color w:val="000000" w:themeColor="text1"/>
              </w:rPr>
              <w:t>选址合理性分析</w:t>
            </w:r>
          </w:p>
          <w:p>
            <w:pPr>
              <w:pStyle w:val="125"/>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位于湖南省岳阳市城陵矶新港区长江大道与环湖交汇处，属于湖南城陵矶临港产业区新区范围内，用地为工业用地。本项目为湖南城陵矶临港产业新区招商项目，符合湖南城陵矶临港产业新区的产业定位及入园标准。所在地交通条件优越，区域内水、电、路、通讯等基础设施均已完善；该项目建设符合当地环境功能区划要求；项目运营过程中污染物能够现实达标排放，对周边环境敏感目标影响较小。</w:t>
            </w:r>
          </w:p>
          <w:p>
            <w:pPr>
              <w:pStyle w:val="125"/>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综上所述，项目所在区域环境具有相容性，无重大外环境制约因素，从环境保护的角度而言，本项目的选址合理可行。</w:t>
            </w:r>
          </w:p>
          <w:p>
            <w:pPr>
              <w:pStyle w:val="6"/>
              <w:rPr>
                <w:rFonts w:cs="Times New Roman"/>
                <w:b/>
              </w:rPr>
            </w:pPr>
            <w:r>
              <w:rPr>
                <w:rFonts w:cs="Times New Roman"/>
                <w:b/>
              </w:rPr>
              <w:t>总结论</w:t>
            </w:r>
          </w:p>
          <w:p>
            <w:pPr>
              <w:spacing w:line="360" w:lineRule="auto"/>
              <w:ind w:firstLine="480" w:firstLineChars="200"/>
              <w:rPr>
                <w:rFonts w:cs="Times New Roman"/>
                <w:color w:val="000000" w:themeColor="text1"/>
              </w:rPr>
            </w:pPr>
            <w:r>
              <w:rPr>
                <w:rFonts w:cs="Times New Roman"/>
                <w:color w:val="000000" w:themeColor="text1"/>
                <w:kern w:val="0"/>
                <w:szCs w:val="44"/>
              </w:rPr>
              <w:t>项目建设符合国家和当地产业政策及总体规划；在落实本环评提出的各项污染防治措施后污染物均能达标排放，项目实施后对周围环境的贡献量较小，当地环境质量仍能符合功能区划要求；项目建设对周围生态、景观环境和水土流失影响相对较小；项目选址及布局合理，项目建设后具有良好的经济与社会效益。因此，从环保角度而言，该项目只要落实本次环评提出的各项治理措施，确保污染物达标排放，加强环保管理和安全生产，该项目在拟建地内实施是可行的。</w:t>
            </w:r>
          </w:p>
          <w:p>
            <w:pPr>
              <w:pStyle w:val="6"/>
              <w:rPr>
                <w:rFonts w:cs="Times New Roman"/>
                <w:b/>
                <w:color w:val="000000" w:themeColor="text1"/>
              </w:rPr>
            </w:pPr>
            <w:r>
              <w:rPr>
                <w:rFonts w:cs="Times New Roman"/>
                <w:b/>
                <w:color w:val="000000" w:themeColor="text1"/>
              </w:rPr>
              <w:t>建议</w:t>
            </w:r>
          </w:p>
          <w:p>
            <w:pPr>
              <w:snapToGrid w:val="0"/>
              <w:spacing w:line="360" w:lineRule="auto"/>
              <w:ind w:firstLine="460"/>
              <w:rPr>
                <w:rFonts w:cs="Times New Roman"/>
                <w:color w:val="000000" w:themeColor="text1"/>
              </w:rPr>
            </w:pPr>
            <w:r>
              <w:rPr>
                <w:rFonts w:cs="Times New Roman"/>
                <w:color w:val="000000" w:themeColor="text1"/>
                <w:szCs w:val="24"/>
              </w:rPr>
              <w:t>1、</w:t>
            </w:r>
            <w:r>
              <w:rPr>
                <w:rFonts w:cs="Times New Roman"/>
                <w:color w:val="000000" w:themeColor="text1"/>
              </w:rPr>
              <w:t>该项目在建设过程中，必须严格按照国家有关建设项目环保管理规定，执行建设项目须配套建设的环境保护设施与主体工程同时设计、同时施工、同时投产使用的“三同时”制度；各类污染物的排放应执行本次环评的要求。</w:t>
            </w:r>
          </w:p>
          <w:p>
            <w:pPr>
              <w:snapToGrid w:val="0"/>
              <w:spacing w:line="360" w:lineRule="auto"/>
              <w:ind w:firstLine="460"/>
              <w:rPr>
                <w:rFonts w:cs="Times New Roman"/>
                <w:color w:val="000000" w:themeColor="text1"/>
                <w:szCs w:val="24"/>
              </w:rPr>
            </w:pPr>
            <w:r>
              <w:rPr>
                <w:rFonts w:cs="Times New Roman"/>
                <w:color w:val="000000" w:themeColor="text1"/>
                <w:szCs w:val="24"/>
              </w:rPr>
              <w:t>2、项目投产后，应严格操作规程，加强对生产设备和环保设施的维护管理，确保其安全运行，避免发生粉尘污染和噪声扰民事故；公司应有计划地改善工人的劳动工作环境，减少噪声对工人工作环境的影响。</w:t>
            </w:r>
          </w:p>
          <w:p>
            <w:pPr>
              <w:snapToGrid w:val="0"/>
              <w:spacing w:line="360" w:lineRule="auto"/>
              <w:ind w:firstLine="460"/>
              <w:rPr>
                <w:rFonts w:cs="Times New Roman"/>
                <w:color w:val="000000" w:themeColor="text1"/>
                <w:szCs w:val="24"/>
              </w:rPr>
            </w:pPr>
            <w:r>
              <w:rPr>
                <w:rFonts w:cs="Times New Roman"/>
                <w:color w:val="000000" w:themeColor="text1"/>
                <w:szCs w:val="24"/>
              </w:rPr>
              <w:t>3、加强环保行政管理力度，明确专职的环保人员，负责项目建设前、后各项环保措施的落实，确保污染治理设施正常运行，排放污染物稳定达标。</w:t>
            </w:r>
          </w:p>
          <w:p>
            <w:pPr>
              <w:spacing w:line="360" w:lineRule="auto"/>
              <w:ind w:firstLine="480" w:firstLineChars="200"/>
              <w:rPr>
                <w:rFonts w:cs="Times New Roman"/>
                <w:color w:val="000000" w:themeColor="text1"/>
              </w:rPr>
            </w:pPr>
            <w:r>
              <w:rPr>
                <w:rFonts w:cs="Times New Roman"/>
                <w:color w:val="000000" w:themeColor="text1"/>
                <w:szCs w:val="24"/>
              </w:rPr>
              <w:t>4、</w:t>
            </w:r>
            <w:r>
              <w:rPr>
                <w:rFonts w:cs="Times New Roman"/>
                <w:color w:val="000000" w:themeColor="text1"/>
              </w:rPr>
              <w:t>合理规划厂区绿化，绿化面积应满足有关规定，绿化以树、灌、草等相结合的形式，美化环境。</w:t>
            </w:r>
            <w:r>
              <w:rPr>
                <w:rFonts w:cs="Times New Roman"/>
                <w:color w:val="000000" w:themeColor="text1"/>
                <w:szCs w:val="28"/>
              </w:rPr>
              <w:t>做好场区绿化工作，以进一步降低噪声和粉尘对周围环境的影响。</w:t>
            </w:r>
          </w:p>
        </w:tc>
      </w:tr>
    </w:tbl>
    <w:p>
      <w:pPr>
        <w:rPr>
          <w:rFonts w:cs="Times New Roman"/>
          <w:color w:val="000000" w:themeColor="text1"/>
        </w:rPr>
      </w:pP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atLeast"/>
        </w:trPr>
        <w:tc>
          <w:tcPr>
            <w:tcW w:w="8522" w:type="dxa"/>
            <w:tcBorders>
              <w:bottom w:val="single" w:color="FFFFFF" w:sz="4" w:space="0"/>
            </w:tcBorders>
          </w:tcPr>
          <w:p>
            <w:pPr>
              <w:ind w:firstLine="480"/>
              <w:rPr>
                <w:rFonts w:cs="Times New Roman"/>
                <w:color w:val="000000" w:themeColor="text1"/>
              </w:rPr>
            </w:pPr>
            <w:r>
              <w:rPr>
                <w:rFonts w:cs="Times New Roman"/>
                <w:color w:val="000000" w:themeColor="text1"/>
              </w:rPr>
              <w:br w:type="page"/>
            </w:r>
            <w:r>
              <w:rPr>
                <w:rFonts w:cs="Times New Roman"/>
                <w:color w:val="000000" w:themeColor="text1"/>
              </w:rPr>
              <w:t xml:space="preserve"> 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522" w:type="dxa"/>
            <w:tcBorders>
              <w:top w:val="single" w:color="FFFFFF" w:sz="4" w:space="0"/>
              <w:bottom w:val="single" w:color="auto" w:sz="4" w:space="0"/>
            </w:tcBorders>
          </w:tcPr>
          <w:p>
            <w:pPr>
              <w:ind w:firstLine="480"/>
              <w:rPr>
                <w:rFonts w:cs="Times New Roman"/>
                <w:color w:val="000000" w:themeColor="text1"/>
              </w:rPr>
            </w:pPr>
            <w:r>
              <w:rPr>
                <w:rFonts w:cs="Times New Roman"/>
                <w:color w:val="000000" w:themeColor="text1"/>
              </w:rPr>
              <w:t xml:space="preserve">                                                        公章</w:t>
            </w:r>
          </w:p>
          <w:p>
            <w:pPr>
              <w:ind w:firstLine="480"/>
              <w:rPr>
                <w:rFonts w:cs="Times New Roman"/>
                <w:color w:val="000000" w:themeColor="text1"/>
              </w:rPr>
            </w:pPr>
          </w:p>
          <w:p>
            <w:pPr>
              <w:ind w:firstLine="480"/>
              <w:rPr>
                <w:rFonts w:cs="Times New Roman"/>
                <w:color w:val="000000" w:themeColor="text1"/>
              </w:rPr>
            </w:pPr>
            <w:r>
              <w:rPr>
                <w:rFonts w:cs="Times New Roman"/>
                <w:color w:val="000000" w:themeColor="text1"/>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0" w:hRule="atLeast"/>
        </w:trPr>
        <w:tc>
          <w:tcPr>
            <w:tcW w:w="8522" w:type="dxa"/>
            <w:tcBorders>
              <w:top w:val="nil"/>
              <w:bottom w:val="single" w:color="FFFFFF" w:sz="4" w:space="0"/>
            </w:tcBorders>
          </w:tcPr>
          <w:p>
            <w:pPr>
              <w:ind w:firstLine="480"/>
              <w:rPr>
                <w:rFonts w:cs="Times New Roman"/>
                <w:color w:val="000000" w:themeColor="text1"/>
              </w:rPr>
            </w:pPr>
          </w:p>
          <w:p>
            <w:pPr>
              <w:ind w:firstLine="480"/>
              <w:rPr>
                <w:rFonts w:cs="Times New Roman"/>
                <w:color w:val="000000" w:themeColor="text1"/>
              </w:rPr>
            </w:pPr>
            <w:r>
              <w:rPr>
                <w:rFonts w:cs="Times New Roman"/>
                <w:color w:val="000000" w:themeColor="text1"/>
              </w:rPr>
              <w:t xml:space="preserve"> 下一级环境保护行政主管部门审查意见：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8522" w:type="dxa"/>
            <w:tcBorders>
              <w:top w:val="single" w:color="FFFFFF" w:sz="4" w:space="0"/>
            </w:tcBorders>
          </w:tcPr>
          <w:p>
            <w:pPr>
              <w:ind w:firstLine="480"/>
              <w:rPr>
                <w:rFonts w:cs="Times New Roman"/>
                <w:color w:val="000000" w:themeColor="text1"/>
              </w:rPr>
            </w:pPr>
          </w:p>
          <w:p>
            <w:pPr>
              <w:ind w:firstLine="480"/>
              <w:rPr>
                <w:rFonts w:cs="Times New Roman"/>
                <w:color w:val="000000" w:themeColor="text1"/>
              </w:rPr>
            </w:pPr>
          </w:p>
          <w:p>
            <w:pPr>
              <w:ind w:firstLine="480"/>
              <w:rPr>
                <w:rFonts w:cs="Times New Roman"/>
                <w:color w:val="000000" w:themeColor="text1"/>
              </w:rPr>
            </w:pPr>
          </w:p>
          <w:p>
            <w:pPr>
              <w:ind w:firstLine="480"/>
              <w:rPr>
                <w:rFonts w:cs="Times New Roman"/>
                <w:color w:val="000000" w:themeColor="text1"/>
              </w:rPr>
            </w:pPr>
            <w:r>
              <w:rPr>
                <w:rFonts w:cs="Times New Roman"/>
                <w:color w:val="000000" w:themeColor="text1"/>
              </w:rPr>
              <w:t xml:space="preserve">                                                        公章</w:t>
            </w:r>
          </w:p>
          <w:p>
            <w:pPr>
              <w:ind w:firstLine="480"/>
              <w:rPr>
                <w:rFonts w:cs="Times New Roman"/>
                <w:color w:val="000000" w:themeColor="text1"/>
              </w:rPr>
            </w:pPr>
          </w:p>
          <w:p>
            <w:pPr>
              <w:ind w:firstLine="480"/>
              <w:rPr>
                <w:rFonts w:cs="Times New Roman"/>
                <w:color w:val="000000" w:themeColor="text1"/>
              </w:rPr>
            </w:pPr>
            <w:r>
              <w:rPr>
                <w:rFonts w:cs="Times New Roman"/>
                <w:color w:val="000000" w:themeColor="text1"/>
              </w:rPr>
              <w:t xml:space="preserve"> 经办人：                                          年    月    日</w:t>
            </w:r>
          </w:p>
        </w:tc>
      </w:tr>
    </w:tbl>
    <w:p>
      <w:pPr>
        <w:ind w:firstLine="420"/>
        <w:rPr>
          <w:rFonts w:cs="Times New Roman"/>
          <w:color w:val="000000" w:themeColor="text1"/>
        </w:rPr>
      </w:pPr>
    </w:p>
    <w:p>
      <w:pPr>
        <w:ind w:firstLine="420"/>
        <w:rPr>
          <w:rFonts w:cs="Times New Roman"/>
          <w:color w:val="000000" w:themeColor="text1"/>
        </w:rPr>
      </w:pPr>
      <w:r>
        <w:rPr>
          <w:rFonts w:cs="Times New Roman"/>
          <w:color w:val="000000" w:themeColor="text1"/>
        </w:rPr>
        <w:br w:type="page"/>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0" w:hRule="atLeast"/>
        </w:trPr>
        <w:tc>
          <w:tcPr>
            <w:tcW w:w="8522" w:type="dxa"/>
            <w:tcBorders>
              <w:bottom w:val="single" w:color="FFFFFF" w:sz="4" w:space="0"/>
            </w:tcBorders>
          </w:tcPr>
          <w:p>
            <w:pPr>
              <w:ind w:firstLine="480"/>
              <w:rPr>
                <w:rFonts w:cs="Times New Roman"/>
                <w:color w:val="000000" w:themeColor="text1"/>
              </w:rPr>
            </w:pPr>
            <w:r>
              <w:rPr>
                <w:rFonts w:cs="Times New Roman"/>
                <w:color w:val="000000" w:themeColor="text1"/>
              </w:rPr>
              <w:t>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8522" w:type="dxa"/>
            <w:tcBorders>
              <w:top w:val="single" w:color="FFFFFF" w:sz="4" w:space="0"/>
            </w:tcBorders>
          </w:tcPr>
          <w:p>
            <w:pPr>
              <w:ind w:firstLine="480"/>
              <w:rPr>
                <w:rFonts w:cs="Times New Roman"/>
                <w:color w:val="000000" w:themeColor="text1"/>
              </w:rPr>
            </w:pPr>
            <w:r>
              <w:rPr>
                <w:rFonts w:cs="Times New Roman"/>
                <w:color w:val="000000" w:themeColor="text1"/>
              </w:rPr>
              <w:t xml:space="preserve">                                                公  章</w:t>
            </w:r>
          </w:p>
          <w:p>
            <w:pPr>
              <w:ind w:firstLine="480"/>
              <w:rPr>
                <w:rFonts w:cs="Times New Roman"/>
                <w:color w:val="000000" w:themeColor="text1"/>
              </w:rPr>
            </w:pPr>
          </w:p>
          <w:p>
            <w:pPr>
              <w:ind w:firstLine="6120" w:firstLineChars="2550"/>
              <w:jc w:val="left"/>
              <w:rPr>
                <w:rFonts w:cs="Times New Roman"/>
                <w:color w:val="000000" w:themeColor="text1"/>
              </w:rPr>
            </w:pPr>
            <w:r>
              <w:rPr>
                <w:rFonts w:cs="Times New Roman"/>
                <w:color w:val="000000" w:themeColor="text1"/>
              </w:rPr>
              <w:t xml:space="preserve"> 经办人：                                            </w:t>
            </w:r>
          </w:p>
          <w:p>
            <w:pPr>
              <w:ind w:firstLine="6000" w:firstLineChars="2500"/>
              <w:jc w:val="left"/>
              <w:rPr>
                <w:rFonts w:cs="Times New Roman"/>
                <w:color w:val="000000" w:themeColor="text1"/>
              </w:rPr>
            </w:pPr>
            <w:r>
              <w:rPr>
                <w:rFonts w:cs="Times New Roman"/>
                <w:color w:val="000000" w:themeColor="text1"/>
              </w:rPr>
              <w:t xml:space="preserve"> 年    月    日</w:t>
            </w:r>
          </w:p>
          <w:p>
            <w:pPr>
              <w:ind w:firstLine="480"/>
              <w:rPr>
                <w:rFonts w:cs="Times New Roman"/>
                <w:color w:val="000000" w:themeColor="text1"/>
              </w:rPr>
            </w:pPr>
          </w:p>
          <w:p>
            <w:pPr>
              <w:rPr>
                <w:rFonts w:cs="Times New Roman"/>
                <w:color w:val="000000" w:themeColor="text1"/>
              </w:rPr>
            </w:pPr>
          </w:p>
        </w:tc>
      </w:tr>
    </w:tbl>
    <w:p>
      <w:pPr>
        <w:rPr>
          <w:rFonts w:cs="Times New Roman"/>
          <w:color w:val="000000" w:themeColor="text1"/>
        </w:rPr>
      </w:pPr>
    </w:p>
    <w:sectPr>
      <w:pgSz w:w="11906" w:h="16838"/>
      <w:pgMar w:top="1440" w:right="1797" w:bottom="1440" w:left="1797" w:header="851" w:footer="992" w:gutter="0"/>
      <w:pgBorders>
        <w:top w:val="none" w:sz="0" w:space="0"/>
        <w:left w:val="none" w:sz="0" w:space="0"/>
        <w:bottom w:val="none" w:sz="0" w:space="0"/>
        <w:right w:val="none" w:sz="0" w:space="0"/>
      </w:pgBorders>
      <w:pgNumType w:start="1"/>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Times New Roman"/>
    <w:panose1 w:val="00000000000000000000"/>
    <w:charset w:val="00"/>
    <w:family w:val="roman"/>
    <w:pitch w:val="default"/>
    <w:sig w:usb0="00000000" w:usb1="00000000" w:usb2="00000010" w:usb3="00000000" w:csb0="0004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735593"/>
    </w:sdtPr>
    <w:sdtContent>
      <w:p>
        <w:pPr>
          <w:pStyle w:val="24"/>
          <w:jc w:val="center"/>
        </w:pPr>
        <w:r>
          <w:fldChar w:fldCharType="begin"/>
        </w:r>
        <w:r>
          <w:instrText xml:space="preserve"> PAGE   \* MERGEFORMAT </w:instrText>
        </w:r>
        <w:r>
          <w:fldChar w:fldCharType="separate"/>
        </w:r>
        <w:r>
          <w:rPr>
            <w:lang w:val="zh-CN"/>
          </w:rPr>
          <w:t>92</w:t>
        </w:r>
        <w:r>
          <w:rPr>
            <w:lang w:val="zh-CN"/>
          </w:rPr>
          <w:fldChar w:fldCharType="end"/>
        </w:r>
      </w:p>
    </w:sdtContent>
  </w:sdt>
  <w:p>
    <w:pPr>
      <w:pStyle w:val="2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2FFAB4"/>
    <w:multiLevelType w:val="singleLevel"/>
    <w:tmpl w:val="8B2FFAB4"/>
    <w:lvl w:ilvl="0" w:tentative="0">
      <w:start w:val="1"/>
      <w:numFmt w:val="decimal"/>
      <w:suff w:val="nothing"/>
      <w:lvlText w:val="（%1）"/>
      <w:lvlJc w:val="left"/>
    </w:lvl>
  </w:abstractNum>
  <w:abstractNum w:abstractNumId="1">
    <w:nsid w:val="159764A0"/>
    <w:multiLevelType w:val="multilevel"/>
    <w:tmpl w:val="159764A0"/>
    <w:lvl w:ilvl="0" w:tentative="0">
      <w:start w:val="1"/>
      <w:numFmt w:val="decimal"/>
      <w:pStyle w:val="4"/>
      <w:lvlText w:val="%1"/>
      <w:lvlJc w:val="left"/>
      <w:pPr>
        <w:ind w:left="432" w:hanging="432"/>
      </w:pPr>
      <w:rPr>
        <w:rFonts w:hint="eastAsia"/>
      </w:rPr>
    </w:lvl>
    <w:lvl w:ilvl="1" w:tentative="0">
      <w:start w:val="1"/>
      <w:numFmt w:val="decimal"/>
      <w:pStyle w:val="6"/>
      <w:suff w:val="space"/>
      <w:lvlText w:val="%1.%2"/>
      <w:lvlJc w:val="left"/>
      <w:pPr>
        <w:ind w:left="718" w:hanging="576"/>
      </w:pPr>
      <w:rPr>
        <w:rFonts w:hint="eastAsia"/>
      </w:rPr>
    </w:lvl>
    <w:lvl w:ilvl="2" w:tentative="0">
      <w:start w:val="1"/>
      <w:numFmt w:val="decimal"/>
      <w:pStyle w:val="7"/>
      <w:suff w:val="space"/>
      <w:lvlText w:val="%1.%2.%3"/>
      <w:lvlJc w:val="left"/>
      <w:pPr>
        <w:ind w:left="6390" w:hanging="720"/>
      </w:pPr>
      <w:rPr>
        <w:rFonts w:hint="eastAsia" w:ascii="Times New Roman" w:hAnsi="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8"/>
      <w:lvlText w:val="%1.%2.%3.%4"/>
      <w:lvlJc w:val="left"/>
      <w:pPr>
        <w:ind w:left="864"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9"/>
      <w:lvlText w:val="%1.%2.%3.%4.%5"/>
      <w:lvlJc w:val="left"/>
      <w:pPr>
        <w:ind w:left="1008" w:hanging="1008"/>
      </w:pPr>
      <w:rPr>
        <w:rFonts w:hint="eastAsia"/>
      </w:rPr>
    </w:lvl>
    <w:lvl w:ilvl="5" w:tentative="0">
      <w:start w:val="1"/>
      <w:numFmt w:val="decimal"/>
      <w:pStyle w:val="10"/>
      <w:lvlText w:val="%1.%2.%3.%4.%5.%6"/>
      <w:lvlJc w:val="left"/>
      <w:pPr>
        <w:ind w:left="1152" w:hanging="1152"/>
      </w:pPr>
      <w:rPr>
        <w:rFonts w:hint="eastAsia"/>
      </w:rPr>
    </w:lvl>
    <w:lvl w:ilvl="6" w:tentative="0">
      <w:start w:val="1"/>
      <w:numFmt w:val="decimal"/>
      <w:pStyle w:val="11"/>
      <w:lvlText w:val="%1.%2.%3.%4.%5.%6.%7"/>
      <w:lvlJc w:val="left"/>
      <w:pPr>
        <w:ind w:left="1296" w:hanging="1296"/>
      </w:pPr>
      <w:rPr>
        <w:rFonts w:hint="eastAsia"/>
      </w:rPr>
    </w:lvl>
    <w:lvl w:ilvl="7" w:tentative="0">
      <w:start w:val="1"/>
      <w:numFmt w:val="decimal"/>
      <w:pStyle w:val="12"/>
      <w:lvlText w:val="%1.%2.%3.%4.%5.%6.%7.%8"/>
      <w:lvlJc w:val="left"/>
      <w:pPr>
        <w:ind w:left="1440" w:hanging="1440"/>
      </w:pPr>
      <w:rPr>
        <w:rFonts w:hint="eastAsia"/>
      </w:rPr>
    </w:lvl>
    <w:lvl w:ilvl="8" w:tentative="0">
      <w:start w:val="1"/>
      <w:numFmt w:val="decimal"/>
      <w:pStyle w:val="13"/>
      <w:lvlText w:val="%1.%2.%3.%4.%5.%6.%7.%8.%9"/>
      <w:lvlJc w:val="left"/>
      <w:pPr>
        <w:ind w:left="1584" w:hanging="1584"/>
      </w:pPr>
      <w:rPr>
        <w:rFonts w:hint="eastAsia"/>
      </w:rPr>
    </w:lvl>
  </w:abstractNum>
  <w:abstractNum w:abstractNumId="2">
    <w:nsid w:val="20251ED4"/>
    <w:multiLevelType w:val="singleLevel"/>
    <w:tmpl w:val="20251ED4"/>
    <w:lvl w:ilvl="0" w:tentative="0">
      <w:start w:val="5"/>
      <w:numFmt w:val="decimal"/>
      <w:suff w:val="nothing"/>
      <w:lvlText w:val="（%1）"/>
      <w:lvlJc w:val="left"/>
    </w:lvl>
  </w:abstractNum>
  <w:abstractNum w:abstractNumId="3">
    <w:nsid w:val="3E9B055D"/>
    <w:multiLevelType w:val="multilevel"/>
    <w:tmpl w:val="3E9B055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779BE68"/>
    <w:multiLevelType w:val="singleLevel"/>
    <w:tmpl w:val="5779BE68"/>
    <w:lvl w:ilvl="0" w:tentative="0">
      <w:start w:val="1"/>
      <w:numFmt w:val="decimal"/>
      <w:suff w:val="nothing"/>
      <w:lvlText w:val="（%1）"/>
      <w:lvlJc w:val="left"/>
    </w:lvl>
  </w:abstractNum>
  <w:abstractNum w:abstractNumId="5">
    <w:nsid w:val="79557158"/>
    <w:multiLevelType w:val="multilevel"/>
    <w:tmpl w:val="7955715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3"/>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bordersDoNotSurroundHeader w:val="0"/>
  <w:bordersDoNotSurroundFooter w:val="0"/>
  <w:hideSpellingErrors/>
  <w:documentProtection w:enforcement="0"/>
  <w:defaultTabStop w:val="420"/>
  <w:drawingGridHorizontalSpacing w:val="105"/>
  <w:drawingGridVerticalSpacing w:val="16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067C4"/>
    <w:rsid w:val="00001707"/>
    <w:rsid w:val="00002650"/>
    <w:rsid w:val="00003003"/>
    <w:rsid w:val="000034D9"/>
    <w:rsid w:val="000039CD"/>
    <w:rsid w:val="000042B0"/>
    <w:rsid w:val="00004846"/>
    <w:rsid w:val="00006C54"/>
    <w:rsid w:val="0000707F"/>
    <w:rsid w:val="0001100C"/>
    <w:rsid w:val="000132E0"/>
    <w:rsid w:val="0001336A"/>
    <w:rsid w:val="000135EB"/>
    <w:rsid w:val="000137D2"/>
    <w:rsid w:val="00014B66"/>
    <w:rsid w:val="00015FFF"/>
    <w:rsid w:val="00021A4F"/>
    <w:rsid w:val="00022229"/>
    <w:rsid w:val="0002318A"/>
    <w:rsid w:val="00023407"/>
    <w:rsid w:val="00023969"/>
    <w:rsid w:val="00024931"/>
    <w:rsid w:val="000249DF"/>
    <w:rsid w:val="000261DD"/>
    <w:rsid w:val="00026ADA"/>
    <w:rsid w:val="00026F02"/>
    <w:rsid w:val="0002742E"/>
    <w:rsid w:val="00030EEE"/>
    <w:rsid w:val="0003102B"/>
    <w:rsid w:val="00033602"/>
    <w:rsid w:val="00033707"/>
    <w:rsid w:val="000337AA"/>
    <w:rsid w:val="00034AC3"/>
    <w:rsid w:val="00035F39"/>
    <w:rsid w:val="00036315"/>
    <w:rsid w:val="000364DC"/>
    <w:rsid w:val="00040164"/>
    <w:rsid w:val="000401A4"/>
    <w:rsid w:val="00040C6A"/>
    <w:rsid w:val="00042107"/>
    <w:rsid w:val="00042AC5"/>
    <w:rsid w:val="00045AA2"/>
    <w:rsid w:val="00045FA8"/>
    <w:rsid w:val="000468A2"/>
    <w:rsid w:val="000468BF"/>
    <w:rsid w:val="00046CC4"/>
    <w:rsid w:val="00047A38"/>
    <w:rsid w:val="00047D20"/>
    <w:rsid w:val="00050ED9"/>
    <w:rsid w:val="00051186"/>
    <w:rsid w:val="000515DF"/>
    <w:rsid w:val="000520B5"/>
    <w:rsid w:val="0005388A"/>
    <w:rsid w:val="00055660"/>
    <w:rsid w:val="00055B6E"/>
    <w:rsid w:val="00056610"/>
    <w:rsid w:val="0005664F"/>
    <w:rsid w:val="00056BE0"/>
    <w:rsid w:val="00056DA5"/>
    <w:rsid w:val="00057AFC"/>
    <w:rsid w:val="000602EC"/>
    <w:rsid w:val="000614EB"/>
    <w:rsid w:val="00061AD3"/>
    <w:rsid w:val="00062518"/>
    <w:rsid w:val="00064E1E"/>
    <w:rsid w:val="000659AB"/>
    <w:rsid w:val="0006663A"/>
    <w:rsid w:val="00066C2B"/>
    <w:rsid w:val="0006742F"/>
    <w:rsid w:val="000701C3"/>
    <w:rsid w:val="000704FE"/>
    <w:rsid w:val="00070B75"/>
    <w:rsid w:val="00071EC0"/>
    <w:rsid w:val="00072128"/>
    <w:rsid w:val="00073676"/>
    <w:rsid w:val="00073E19"/>
    <w:rsid w:val="00074401"/>
    <w:rsid w:val="00074535"/>
    <w:rsid w:val="0007458D"/>
    <w:rsid w:val="00074D7E"/>
    <w:rsid w:val="00075191"/>
    <w:rsid w:val="000769F8"/>
    <w:rsid w:val="00076BDC"/>
    <w:rsid w:val="00077BDE"/>
    <w:rsid w:val="00077D6C"/>
    <w:rsid w:val="00080EC2"/>
    <w:rsid w:val="000814F6"/>
    <w:rsid w:val="00081828"/>
    <w:rsid w:val="00081939"/>
    <w:rsid w:val="00082530"/>
    <w:rsid w:val="00082985"/>
    <w:rsid w:val="00082A11"/>
    <w:rsid w:val="00082C9D"/>
    <w:rsid w:val="00083D15"/>
    <w:rsid w:val="00084649"/>
    <w:rsid w:val="00086248"/>
    <w:rsid w:val="00086C1A"/>
    <w:rsid w:val="00086C8A"/>
    <w:rsid w:val="00086D7F"/>
    <w:rsid w:val="000902C2"/>
    <w:rsid w:val="00091398"/>
    <w:rsid w:val="00091971"/>
    <w:rsid w:val="00091E77"/>
    <w:rsid w:val="00092254"/>
    <w:rsid w:val="00092812"/>
    <w:rsid w:val="0009311D"/>
    <w:rsid w:val="000936DC"/>
    <w:rsid w:val="00093E76"/>
    <w:rsid w:val="000942D0"/>
    <w:rsid w:val="00094906"/>
    <w:rsid w:val="000955A5"/>
    <w:rsid w:val="000955DF"/>
    <w:rsid w:val="0009571E"/>
    <w:rsid w:val="000957D8"/>
    <w:rsid w:val="00095D38"/>
    <w:rsid w:val="00096BFC"/>
    <w:rsid w:val="00097552"/>
    <w:rsid w:val="00097A0B"/>
    <w:rsid w:val="000A05FA"/>
    <w:rsid w:val="000A08D0"/>
    <w:rsid w:val="000A0C11"/>
    <w:rsid w:val="000A2328"/>
    <w:rsid w:val="000A3A50"/>
    <w:rsid w:val="000A4548"/>
    <w:rsid w:val="000A4D88"/>
    <w:rsid w:val="000A537E"/>
    <w:rsid w:val="000A637B"/>
    <w:rsid w:val="000A6497"/>
    <w:rsid w:val="000A7983"/>
    <w:rsid w:val="000A79F3"/>
    <w:rsid w:val="000B02EA"/>
    <w:rsid w:val="000B060E"/>
    <w:rsid w:val="000B0915"/>
    <w:rsid w:val="000B0E3C"/>
    <w:rsid w:val="000B1708"/>
    <w:rsid w:val="000B1846"/>
    <w:rsid w:val="000B18E1"/>
    <w:rsid w:val="000B2A76"/>
    <w:rsid w:val="000B2F3A"/>
    <w:rsid w:val="000B31B6"/>
    <w:rsid w:val="000B3FD2"/>
    <w:rsid w:val="000B3FE0"/>
    <w:rsid w:val="000B489A"/>
    <w:rsid w:val="000B4E29"/>
    <w:rsid w:val="000B5169"/>
    <w:rsid w:val="000B52C1"/>
    <w:rsid w:val="000B66B6"/>
    <w:rsid w:val="000B7141"/>
    <w:rsid w:val="000B7F54"/>
    <w:rsid w:val="000B7FF1"/>
    <w:rsid w:val="000C0C15"/>
    <w:rsid w:val="000C0D95"/>
    <w:rsid w:val="000C166E"/>
    <w:rsid w:val="000C181F"/>
    <w:rsid w:val="000C1DDB"/>
    <w:rsid w:val="000C345E"/>
    <w:rsid w:val="000C3D61"/>
    <w:rsid w:val="000C3FC6"/>
    <w:rsid w:val="000C45F7"/>
    <w:rsid w:val="000C478D"/>
    <w:rsid w:val="000C526A"/>
    <w:rsid w:val="000C6A5F"/>
    <w:rsid w:val="000C7A0B"/>
    <w:rsid w:val="000D04D3"/>
    <w:rsid w:val="000D1D06"/>
    <w:rsid w:val="000D2148"/>
    <w:rsid w:val="000D40B9"/>
    <w:rsid w:val="000D41B7"/>
    <w:rsid w:val="000D42FB"/>
    <w:rsid w:val="000D464F"/>
    <w:rsid w:val="000D55B5"/>
    <w:rsid w:val="000D57EB"/>
    <w:rsid w:val="000D64D0"/>
    <w:rsid w:val="000E1608"/>
    <w:rsid w:val="000E18E4"/>
    <w:rsid w:val="000E1BFB"/>
    <w:rsid w:val="000E1C86"/>
    <w:rsid w:val="000E2096"/>
    <w:rsid w:val="000E3717"/>
    <w:rsid w:val="000E39F2"/>
    <w:rsid w:val="000E41D4"/>
    <w:rsid w:val="000E65FB"/>
    <w:rsid w:val="000E6912"/>
    <w:rsid w:val="000E6EB3"/>
    <w:rsid w:val="000E7812"/>
    <w:rsid w:val="000E781B"/>
    <w:rsid w:val="000F1A71"/>
    <w:rsid w:val="000F28A6"/>
    <w:rsid w:val="000F45CA"/>
    <w:rsid w:val="000F46AD"/>
    <w:rsid w:val="000F494F"/>
    <w:rsid w:val="000F58E4"/>
    <w:rsid w:val="000F5BD9"/>
    <w:rsid w:val="000F684C"/>
    <w:rsid w:val="000F736C"/>
    <w:rsid w:val="000F7767"/>
    <w:rsid w:val="00101BC1"/>
    <w:rsid w:val="00102E0E"/>
    <w:rsid w:val="001031A2"/>
    <w:rsid w:val="00103471"/>
    <w:rsid w:val="00103784"/>
    <w:rsid w:val="00103F16"/>
    <w:rsid w:val="001044C2"/>
    <w:rsid w:val="00104C00"/>
    <w:rsid w:val="00104C98"/>
    <w:rsid w:val="00105087"/>
    <w:rsid w:val="00106ADF"/>
    <w:rsid w:val="00107DBD"/>
    <w:rsid w:val="0011097A"/>
    <w:rsid w:val="00111E1D"/>
    <w:rsid w:val="0011222F"/>
    <w:rsid w:val="00112B5E"/>
    <w:rsid w:val="00113A56"/>
    <w:rsid w:val="00114C5F"/>
    <w:rsid w:val="00115044"/>
    <w:rsid w:val="0011549A"/>
    <w:rsid w:val="00115885"/>
    <w:rsid w:val="00115FC8"/>
    <w:rsid w:val="00116611"/>
    <w:rsid w:val="001168D8"/>
    <w:rsid w:val="00117DC5"/>
    <w:rsid w:val="00117E8D"/>
    <w:rsid w:val="00117F4E"/>
    <w:rsid w:val="00120174"/>
    <w:rsid w:val="001204AD"/>
    <w:rsid w:val="00121109"/>
    <w:rsid w:val="001211E0"/>
    <w:rsid w:val="00121D31"/>
    <w:rsid w:val="00121EC9"/>
    <w:rsid w:val="001242C8"/>
    <w:rsid w:val="001246FB"/>
    <w:rsid w:val="00125BAA"/>
    <w:rsid w:val="001263EE"/>
    <w:rsid w:val="00126F38"/>
    <w:rsid w:val="00130ACF"/>
    <w:rsid w:val="001314E7"/>
    <w:rsid w:val="00131BA0"/>
    <w:rsid w:val="001334B7"/>
    <w:rsid w:val="001342BA"/>
    <w:rsid w:val="00134A74"/>
    <w:rsid w:val="001352D2"/>
    <w:rsid w:val="00136E56"/>
    <w:rsid w:val="0013729E"/>
    <w:rsid w:val="001372B0"/>
    <w:rsid w:val="0013733D"/>
    <w:rsid w:val="00140C68"/>
    <w:rsid w:val="00140ED1"/>
    <w:rsid w:val="0014184E"/>
    <w:rsid w:val="00141CE3"/>
    <w:rsid w:val="00142047"/>
    <w:rsid w:val="00142304"/>
    <w:rsid w:val="00143EBC"/>
    <w:rsid w:val="00144B7C"/>
    <w:rsid w:val="00145089"/>
    <w:rsid w:val="001454B5"/>
    <w:rsid w:val="001455DB"/>
    <w:rsid w:val="0014608C"/>
    <w:rsid w:val="00147896"/>
    <w:rsid w:val="00147B9B"/>
    <w:rsid w:val="00151B38"/>
    <w:rsid w:val="0015266F"/>
    <w:rsid w:val="00152A9E"/>
    <w:rsid w:val="00152BDE"/>
    <w:rsid w:val="0015402C"/>
    <w:rsid w:val="0015408A"/>
    <w:rsid w:val="001548FB"/>
    <w:rsid w:val="0015662E"/>
    <w:rsid w:val="0015774D"/>
    <w:rsid w:val="001609FE"/>
    <w:rsid w:val="00161DC1"/>
    <w:rsid w:val="001628C1"/>
    <w:rsid w:val="0016301C"/>
    <w:rsid w:val="00163519"/>
    <w:rsid w:val="00163FF6"/>
    <w:rsid w:val="001652D7"/>
    <w:rsid w:val="00165B3B"/>
    <w:rsid w:val="001667D1"/>
    <w:rsid w:val="001719B3"/>
    <w:rsid w:val="001720AA"/>
    <w:rsid w:val="00172891"/>
    <w:rsid w:val="00172B23"/>
    <w:rsid w:val="00173D2A"/>
    <w:rsid w:val="00174BA5"/>
    <w:rsid w:val="00174CFC"/>
    <w:rsid w:val="0017523E"/>
    <w:rsid w:val="00175F97"/>
    <w:rsid w:val="00176413"/>
    <w:rsid w:val="001766EE"/>
    <w:rsid w:val="0017707E"/>
    <w:rsid w:val="00177398"/>
    <w:rsid w:val="00177670"/>
    <w:rsid w:val="0018011C"/>
    <w:rsid w:val="001804C1"/>
    <w:rsid w:val="00181DD4"/>
    <w:rsid w:val="00183D4A"/>
    <w:rsid w:val="0018421D"/>
    <w:rsid w:val="00184223"/>
    <w:rsid w:val="001847DB"/>
    <w:rsid w:val="00184E53"/>
    <w:rsid w:val="001863F7"/>
    <w:rsid w:val="0018768D"/>
    <w:rsid w:val="0018775B"/>
    <w:rsid w:val="00187795"/>
    <w:rsid w:val="0019002A"/>
    <w:rsid w:val="00190A5F"/>
    <w:rsid w:val="001913A8"/>
    <w:rsid w:val="0019374F"/>
    <w:rsid w:val="00193ADE"/>
    <w:rsid w:val="00193BFC"/>
    <w:rsid w:val="0019422A"/>
    <w:rsid w:val="00194514"/>
    <w:rsid w:val="001956DE"/>
    <w:rsid w:val="00196A89"/>
    <w:rsid w:val="00197049"/>
    <w:rsid w:val="00197865"/>
    <w:rsid w:val="001A03C7"/>
    <w:rsid w:val="001A1841"/>
    <w:rsid w:val="001A1910"/>
    <w:rsid w:val="001A1A80"/>
    <w:rsid w:val="001A2707"/>
    <w:rsid w:val="001A31F6"/>
    <w:rsid w:val="001A33CE"/>
    <w:rsid w:val="001A3D70"/>
    <w:rsid w:val="001A3E7E"/>
    <w:rsid w:val="001A545C"/>
    <w:rsid w:val="001A565B"/>
    <w:rsid w:val="001A58B5"/>
    <w:rsid w:val="001A5C4E"/>
    <w:rsid w:val="001A613E"/>
    <w:rsid w:val="001A67A1"/>
    <w:rsid w:val="001A7FB7"/>
    <w:rsid w:val="001B0732"/>
    <w:rsid w:val="001B0D37"/>
    <w:rsid w:val="001B1B34"/>
    <w:rsid w:val="001B1C2F"/>
    <w:rsid w:val="001B276C"/>
    <w:rsid w:val="001B2E4E"/>
    <w:rsid w:val="001B34F5"/>
    <w:rsid w:val="001B3856"/>
    <w:rsid w:val="001B5718"/>
    <w:rsid w:val="001B5993"/>
    <w:rsid w:val="001B60EF"/>
    <w:rsid w:val="001B642C"/>
    <w:rsid w:val="001B6627"/>
    <w:rsid w:val="001B71A9"/>
    <w:rsid w:val="001C007F"/>
    <w:rsid w:val="001C08B6"/>
    <w:rsid w:val="001C1183"/>
    <w:rsid w:val="001C15DE"/>
    <w:rsid w:val="001C181E"/>
    <w:rsid w:val="001C3170"/>
    <w:rsid w:val="001C406F"/>
    <w:rsid w:val="001C4BBD"/>
    <w:rsid w:val="001C6215"/>
    <w:rsid w:val="001C6921"/>
    <w:rsid w:val="001C69CF"/>
    <w:rsid w:val="001C743B"/>
    <w:rsid w:val="001C7520"/>
    <w:rsid w:val="001D07EF"/>
    <w:rsid w:val="001D15E5"/>
    <w:rsid w:val="001D167E"/>
    <w:rsid w:val="001D170A"/>
    <w:rsid w:val="001D231C"/>
    <w:rsid w:val="001D2A03"/>
    <w:rsid w:val="001D2F7A"/>
    <w:rsid w:val="001D4567"/>
    <w:rsid w:val="001D49EF"/>
    <w:rsid w:val="001D60AD"/>
    <w:rsid w:val="001D6783"/>
    <w:rsid w:val="001D6884"/>
    <w:rsid w:val="001D7046"/>
    <w:rsid w:val="001D74BB"/>
    <w:rsid w:val="001D75E0"/>
    <w:rsid w:val="001D79E6"/>
    <w:rsid w:val="001E18C3"/>
    <w:rsid w:val="001E269B"/>
    <w:rsid w:val="001E338C"/>
    <w:rsid w:val="001E4889"/>
    <w:rsid w:val="001E4F12"/>
    <w:rsid w:val="001E70BD"/>
    <w:rsid w:val="001F231D"/>
    <w:rsid w:val="001F2819"/>
    <w:rsid w:val="001F2EFF"/>
    <w:rsid w:val="001F37C3"/>
    <w:rsid w:val="001F402E"/>
    <w:rsid w:val="001F4493"/>
    <w:rsid w:val="001F45F7"/>
    <w:rsid w:val="001F4CC0"/>
    <w:rsid w:val="001F4D0A"/>
    <w:rsid w:val="001F4F40"/>
    <w:rsid w:val="001F5AD9"/>
    <w:rsid w:val="001F5D00"/>
    <w:rsid w:val="001F6617"/>
    <w:rsid w:val="001F67A5"/>
    <w:rsid w:val="001F7627"/>
    <w:rsid w:val="001F7B2B"/>
    <w:rsid w:val="00200D58"/>
    <w:rsid w:val="0020157E"/>
    <w:rsid w:val="00201C5D"/>
    <w:rsid w:val="00201C99"/>
    <w:rsid w:val="00201EE8"/>
    <w:rsid w:val="00202636"/>
    <w:rsid w:val="00202F9A"/>
    <w:rsid w:val="002032E0"/>
    <w:rsid w:val="00203D8A"/>
    <w:rsid w:val="00204739"/>
    <w:rsid w:val="00204B3B"/>
    <w:rsid w:val="00205689"/>
    <w:rsid w:val="00205E46"/>
    <w:rsid w:val="00206098"/>
    <w:rsid w:val="0021059C"/>
    <w:rsid w:val="00210D36"/>
    <w:rsid w:val="00215BA3"/>
    <w:rsid w:val="00220443"/>
    <w:rsid w:val="00221758"/>
    <w:rsid w:val="002236BF"/>
    <w:rsid w:val="002236C0"/>
    <w:rsid w:val="00224077"/>
    <w:rsid w:val="00224339"/>
    <w:rsid w:val="0022443A"/>
    <w:rsid w:val="00225596"/>
    <w:rsid w:val="002258E3"/>
    <w:rsid w:val="00225A89"/>
    <w:rsid w:val="00225E47"/>
    <w:rsid w:val="00227080"/>
    <w:rsid w:val="002300F1"/>
    <w:rsid w:val="002307A0"/>
    <w:rsid w:val="00230EF1"/>
    <w:rsid w:val="00234818"/>
    <w:rsid w:val="00234B89"/>
    <w:rsid w:val="00234C52"/>
    <w:rsid w:val="00235023"/>
    <w:rsid w:val="00235060"/>
    <w:rsid w:val="00235CF7"/>
    <w:rsid w:val="00236FEB"/>
    <w:rsid w:val="00237D32"/>
    <w:rsid w:val="00240E26"/>
    <w:rsid w:val="00241447"/>
    <w:rsid w:val="00242189"/>
    <w:rsid w:val="002421EB"/>
    <w:rsid w:val="00242B98"/>
    <w:rsid w:val="00243D6F"/>
    <w:rsid w:val="00244136"/>
    <w:rsid w:val="00244C9C"/>
    <w:rsid w:val="002458DC"/>
    <w:rsid w:val="0024645C"/>
    <w:rsid w:val="00246729"/>
    <w:rsid w:val="002470A6"/>
    <w:rsid w:val="002471B7"/>
    <w:rsid w:val="00247844"/>
    <w:rsid w:val="00247E45"/>
    <w:rsid w:val="00250213"/>
    <w:rsid w:val="0025152C"/>
    <w:rsid w:val="00251A67"/>
    <w:rsid w:val="00251F84"/>
    <w:rsid w:val="002523AB"/>
    <w:rsid w:val="0025282E"/>
    <w:rsid w:val="00252CA1"/>
    <w:rsid w:val="00253D2B"/>
    <w:rsid w:val="00254035"/>
    <w:rsid w:val="0025553C"/>
    <w:rsid w:val="00255F40"/>
    <w:rsid w:val="00256A99"/>
    <w:rsid w:val="002571CA"/>
    <w:rsid w:val="002574D5"/>
    <w:rsid w:val="00257543"/>
    <w:rsid w:val="002611FD"/>
    <w:rsid w:val="0026131E"/>
    <w:rsid w:val="0026179C"/>
    <w:rsid w:val="00261C8D"/>
    <w:rsid w:val="00261E9E"/>
    <w:rsid w:val="0026413F"/>
    <w:rsid w:val="00266808"/>
    <w:rsid w:val="0026684B"/>
    <w:rsid w:val="00266889"/>
    <w:rsid w:val="00266D52"/>
    <w:rsid w:val="00266F2B"/>
    <w:rsid w:val="0026728E"/>
    <w:rsid w:val="002675E8"/>
    <w:rsid w:val="00270845"/>
    <w:rsid w:val="00270945"/>
    <w:rsid w:val="00270B3A"/>
    <w:rsid w:val="00270F04"/>
    <w:rsid w:val="00270FC5"/>
    <w:rsid w:val="00272A09"/>
    <w:rsid w:val="00272F28"/>
    <w:rsid w:val="002730DA"/>
    <w:rsid w:val="00273CDF"/>
    <w:rsid w:val="00274376"/>
    <w:rsid w:val="002743D3"/>
    <w:rsid w:val="00274830"/>
    <w:rsid w:val="00274954"/>
    <w:rsid w:val="0027500B"/>
    <w:rsid w:val="002759FD"/>
    <w:rsid w:val="00277227"/>
    <w:rsid w:val="002773A7"/>
    <w:rsid w:val="00281270"/>
    <w:rsid w:val="0028171C"/>
    <w:rsid w:val="00281746"/>
    <w:rsid w:val="0028263E"/>
    <w:rsid w:val="00282CA7"/>
    <w:rsid w:val="00283292"/>
    <w:rsid w:val="002836AC"/>
    <w:rsid w:val="00284259"/>
    <w:rsid w:val="00284650"/>
    <w:rsid w:val="00286B50"/>
    <w:rsid w:val="002876AF"/>
    <w:rsid w:val="00287717"/>
    <w:rsid w:val="00287EF1"/>
    <w:rsid w:val="0029055F"/>
    <w:rsid w:val="00290CAB"/>
    <w:rsid w:val="00290D15"/>
    <w:rsid w:val="00290D48"/>
    <w:rsid w:val="00291CB0"/>
    <w:rsid w:val="00293634"/>
    <w:rsid w:val="00295DA2"/>
    <w:rsid w:val="00296C7F"/>
    <w:rsid w:val="002A10FD"/>
    <w:rsid w:val="002A196A"/>
    <w:rsid w:val="002A1A32"/>
    <w:rsid w:val="002A1D17"/>
    <w:rsid w:val="002A200B"/>
    <w:rsid w:val="002A321E"/>
    <w:rsid w:val="002A3384"/>
    <w:rsid w:val="002A3B94"/>
    <w:rsid w:val="002A3BA6"/>
    <w:rsid w:val="002A3E5E"/>
    <w:rsid w:val="002A4A7F"/>
    <w:rsid w:val="002A65EB"/>
    <w:rsid w:val="002A6DAA"/>
    <w:rsid w:val="002A6FF5"/>
    <w:rsid w:val="002A7926"/>
    <w:rsid w:val="002A7FC6"/>
    <w:rsid w:val="002B20AD"/>
    <w:rsid w:val="002B2351"/>
    <w:rsid w:val="002B39EA"/>
    <w:rsid w:val="002B732E"/>
    <w:rsid w:val="002C04D7"/>
    <w:rsid w:val="002C0ACC"/>
    <w:rsid w:val="002C14EF"/>
    <w:rsid w:val="002C19CD"/>
    <w:rsid w:val="002C23C2"/>
    <w:rsid w:val="002C2AC9"/>
    <w:rsid w:val="002C36CB"/>
    <w:rsid w:val="002C3798"/>
    <w:rsid w:val="002C3D3D"/>
    <w:rsid w:val="002C3F37"/>
    <w:rsid w:val="002C402E"/>
    <w:rsid w:val="002C4398"/>
    <w:rsid w:val="002C458A"/>
    <w:rsid w:val="002C47F6"/>
    <w:rsid w:val="002C48CB"/>
    <w:rsid w:val="002C4A91"/>
    <w:rsid w:val="002C5F0A"/>
    <w:rsid w:val="002C62B4"/>
    <w:rsid w:val="002C635C"/>
    <w:rsid w:val="002C74D3"/>
    <w:rsid w:val="002C752F"/>
    <w:rsid w:val="002D01E7"/>
    <w:rsid w:val="002D01FE"/>
    <w:rsid w:val="002D088E"/>
    <w:rsid w:val="002D0F39"/>
    <w:rsid w:val="002D0F3B"/>
    <w:rsid w:val="002D11F7"/>
    <w:rsid w:val="002D137D"/>
    <w:rsid w:val="002D32A7"/>
    <w:rsid w:val="002D4667"/>
    <w:rsid w:val="002D4C7B"/>
    <w:rsid w:val="002D4F64"/>
    <w:rsid w:val="002D5E7C"/>
    <w:rsid w:val="002E0957"/>
    <w:rsid w:val="002E0CE4"/>
    <w:rsid w:val="002E0D7B"/>
    <w:rsid w:val="002E1A55"/>
    <w:rsid w:val="002E2BEC"/>
    <w:rsid w:val="002E31E8"/>
    <w:rsid w:val="002E324B"/>
    <w:rsid w:val="002E3F37"/>
    <w:rsid w:val="002E4056"/>
    <w:rsid w:val="002E42C2"/>
    <w:rsid w:val="002E773E"/>
    <w:rsid w:val="002F025F"/>
    <w:rsid w:val="002F0A4D"/>
    <w:rsid w:val="002F1F80"/>
    <w:rsid w:val="002F23AA"/>
    <w:rsid w:val="002F275D"/>
    <w:rsid w:val="002F2BD0"/>
    <w:rsid w:val="002F3028"/>
    <w:rsid w:val="002F346E"/>
    <w:rsid w:val="002F3A1E"/>
    <w:rsid w:val="002F61CF"/>
    <w:rsid w:val="002F6338"/>
    <w:rsid w:val="002F66E1"/>
    <w:rsid w:val="002F675D"/>
    <w:rsid w:val="002F6B55"/>
    <w:rsid w:val="00303056"/>
    <w:rsid w:val="0030313E"/>
    <w:rsid w:val="00303D86"/>
    <w:rsid w:val="00304477"/>
    <w:rsid w:val="00304A03"/>
    <w:rsid w:val="0030521A"/>
    <w:rsid w:val="003052AC"/>
    <w:rsid w:val="003057A1"/>
    <w:rsid w:val="00305FE0"/>
    <w:rsid w:val="00306C7D"/>
    <w:rsid w:val="00307D74"/>
    <w:rsid w:val="00307DD2"/>
    <w:rsid w:val="00310394"/>
    <w:rsid w:val="003108F3"/>
    <w:rsid w:val="00311229"/>
    <w:rsid w:val="00312B19"/>
    <w:rsid w:val="0031541F"/>
    <w:rsid w:val="003163DF"/>
    <w:rsid w:val="0032056E"/>
    <w:rsid w:val="003212E7"/>
    <w:rsid w:val="00322009"/>
    <w:rsid w:val="00322608"/>
    <w:rsid w:val="00322FF4"/>
    <w:rsid w:val="00323DBA"/>
    <w:rsid w:val="00324C2A"/>
    <w:rsid w:val="00324C33"/>
    <w:rsid w:val="00324F9D"/>
    <w:rsid w:val="00325152"/>
    <w:rsid w:val="003274D7"/>
    <w:rsid w:val="00330AB3"/>
    <w:rsid w:val="003319F4"/>
    <w:rsid w:val="00332533"/>
    <w:rsid w:val="00332FA7"/>
    <w:rsid w:val="00333602"/>
    <w:rsid w:val="0033466A"/>
    <w:rsid w:val="00334A86"/>
    <w:rsid w:val="00335377"/>
    <w:rsid w:val="00335634"/>
    <w:rsid w:val="00336002"/>
    <w:rsid w:val="00336B0A"/>
    <w:rsid w:val="003376FA"/>
    <w:rsid w:val="00337C15"/>
    <w:rsid w:val="00340494"/>
    <w:rsid w:val="0034059D"/>
    <w:rsid w:val="0034083D"/>
    <w:rsid w:val="00340D79"/>
    <w:rsid w:val="003415A2"/>
    <w:rsid w:val="003417FA"/>
    <w:rsid w:val="00342271"/>
    <w:rsid w:val="00342E56"/>
    <w:rsid w:val="003430BE"/>
    <w:rsid w:val="00343BCC"/>
    <w:rsid w:val="00345E99"/>
    <w:rsid w:val="00346499"/>
    <w:rsid w:val="003464A5"/>
    <w:rsid w:val="00346CE2"/>
    <w:rsid w:val="00350CD8"/>
    <w:rsid w:val="003516BB"/>
    <w:rsid w:val="003520F3"/>
    <w:rsid w:val="003528B4"/>
    <w:rsid w:val="00352E16"/>
    <w:rsid w:val="00353501"/>
    <w:rsid w:val="00354AF8"/>
    <w:rsid w:val="003558F0"/>
    <w:rsid w:val="0035681B"/>
    <w:rsid w:val="00357348"/>
    <w:rsid w:val="0035776F"/>
    <w:rsid w:val="003578B4"/>
    <w:rsid w:val="003617CB"/>
    <w:rsid w:val="00362287"/>
    <w:rsid w:val="00363498"/>
    <w:rsid w:val="00363664"/>
    <w:rsid w:val="00363667"/>
    <w:rsid w:val="00365F9A"/>
    <w:rsid w:val="0036650E"/>
    <w:rsid w:val="00370874"/>
    <w:rsid w:val="00370FC4"/>
    <w:rsid w:val="00372E16"/>
    <w:rsid w:val="00373128"/>
    <w:rsid w:val="00373B62"/>
    <w:rsid w:val="00374B06"/>
    <w:rsid w:val="0037519D"/>
    <w:rsid w:val="003765BB"/>
    <w:rsid w:val="0037680C"/>
    <w:rsid w:val="0037722C"/>
    <w:rsid w:val="0037765D"/>
    <w:rsid w:val="003824A4"/>
    <w:rsid w:val="00382ECA"/>
    <w:rsid w:val="00384ABF"/>
    <w:rsid w:val="00385926"/>
    <w:rsid w:val="003862D2"/>
    <w:rsid w:val="00386EEB"/>
    <w:rsid w:val="0038726C"/>
    <w:rsid w:val="00391224"/>
    <w:rsid w:val="0039122E"/>
    <w:rsid w:val="0039126E"/>
    <w:rsid w:val="00391AEC"/>
    <w:rsid w:val="00391B51"/>
    <w:rsid w:val="0039263A"/>
    <w:rsid w:val="00392E3E"/>
    <w:rsid w:val="0039318D"/>
    <w:rsid w:val="00393518"/>
    <w:rsid w:val="00393F33"/>
    <w:rsid w:val="003941E7"/>
    <w:rsid w:val="00394751"/>
    <w:rsid w:val="003949DC"/>
    <w:rsid w:val="00394D94"/>
    <w:rsid w:val="0039622D"/>
    <w:rsid w:val="00397638"/>
    <w:rsid w:val="00397FB4"/>
    <w:rsid w:val="003A02F8"/>
    <w:rsid w:val="003A11E1"/>
    <w:rsid w:val="003A19AE"/>
    <w:rsid w:val="003A1A9C"/>
    <w:rsid w:val="003A2883"/>
    <w:rsid w:val="003A2DAF"/>
    <w:rsid w:val="003A3346"/>
    <w:rsid w:val="003A37FF"/>
    <w:rsid w:val="003A48B9"/>
    <w:rsid w:val="003A4FFB"/>
    <w:rsid w:val="003A5131"/>
    <w:rsid w:val="003A51B5"/>
    <w:rsid w:val="003A5BDF"/>
    <w:rsid w:val="003A5CC7"/>
    <w:rsid w:val="003A5EAF"/>
    <w:rsid w:val="003A6317"/>
    <w:rsid w:val="003A6478"/>
    <w:rsid w:val="003A7627"/>
    <w:rsid w:val="003B06FA"/>
    <w:rsid w:val="003B0973"/>
    <w:rsid w:val="003B0AB3"/>
    <w:rsid w:val="003B1B15"/>
    <w:rsid w:val="003B282B"/>
    <w:rsid w:val="003B2EC8"/>
    <w:rsid w:val="003B35A8"/>
    <w:rsid w:val="003B5D5C"/>
    <w:rsid w:val="003B608F"/>
    <w:rsid w:val="003B7D50"/>
    <w:rsid w:val="003C0C6A"/>
    <w:rsid w:val="003C0F53"/>
    <w:rsid w:val="003C1087"/>
    <w:rsid w:val="003C2064"/>
    <w:rsid w:val="003C255C"/>
    <w:rsid w:val="003C2655"/>
    <w:rsid w:val="003C334D"/>
    <w:rsid w:val="003C39EA"/>
    <w:rsid w:val="003C3EE5"/>
    <w:rsid w:val="003C4DAD"/>
    <w:rsid w:val="003C5A16"/>
    <w:rsid w:val="003C6511"/>
    <w:rsid w:val="003C6CAD"/>
    <w:rsid w:val="003C7160"/>
    <w:rsid w:val="003C72A0"/>
    <w:rsid w:val="003C7303"/>
    <w:rsid w:val="003D1447"/>
    <w:rsid w:val="003D3B7E"/>
    <w:rsid w:val="003D40A7"/>
    <w:rsid w:val="003D49BD"/>
    <w:rsid w:val="003D4E05"/>
    <w:rsid w:val="003D4F2C"/>
    <w:rsid w:val="003D5037"/>
    <w:rsid w:val="003D6B5F"/>
    <w:rsid w:val="003D720C"/>
    <w:rsid w:val="003D7680"/>
    <w:rsid w:val="003E0634"/>
    <w:rsid w:val="003E1416"/>
    <w:rsid w:val="003E2050"/>
    <w:rsid w:val="003E2207"/>
    <w:rsid w:val="003E2480"/>
    <w:rsid w:val="003E3687"/>
    <w:rsid w:val="003E3845"/>
    <w:rsid w:val="003E3EA4"/>
    <w:rsid w:val="003E497D"/>
    <w:rsid w:val="003E54ED"/>
    <w:rsid w:val="003E58EB"/>
    <w:rsid w:val="003E5AB2"/>
    <w:rsid w:val="003E5C99"/>
    <w:rsid w:val="003E6D70"/>
    <w:rsid w:val="003F0B9E"/>
    <w:rsid w:val="003F0C41"/>
    <w:rsid w:val="003F1555"/>
    <w:rsid w:val="003F17F3"/>
    <w:rsid w:val="003F2324"/>
    <w:rsid w:val="003F280B"/>
    <w:rsid w:val="003F2FB2"/>
    <w:rsid w:val="003F5DA2"/>
    <w:rsid w:val="003F687E"/>
    <w:rsid w:val="003F71CD"/>
    <w:rsid w:val="003F7C20"/>
    <w:rsid w:val="004020DD"/>
    <w:rsid w:val="00402BBF"/>
    <w:rsid w:val="0040485F"/>
    <w:rsid w:val="00404BC6"/>
    <w:rsid w:val="004051A2"/>
    <w:rsid w:val="0040578E"/>
    <w:rsid w:val="00405CC3"/>
    <w:rsid w:val="004067C4"/>
    <w:rsid w:val="00407279"/>
    <w:rsid w:val="00407AA6"/>
    <w:rsid w:val="00407B59"/>
    <w:rsid w:val="00407E67"/>
    <w:rsid w:val="00411302"/>
    <w:rsid w:val="00412954"/>
    <w:rsid w:val="00412C66"/>
    <w:rsid w:val="00414754"/>
    <w:rsid w:val="00414EE7"/>
    <w:rsid w:val="0041527D"/>
    <w:rsid w:val="00415861"/>
    <w:rsid w:val="00416F54"/>
    <w:rsid w:val="00417A22"/>
    <w:rsid w:val="00417CEE"/>
    <w:rsid w:val="004212AA"/>
    <w:rsid w:val="004234E4"/>
    <w:rsid w:val="00423C5C"/>
    <w:rsid w:val="0042536A"/>
    <w:rsid w:val="004255AE"/>
    <w:rsid w:val="004265A2"/>
    <w:rsid w:val="00426972"/>
    <w:rsid w:val="00427400"/>
    <w:rsid w:val="00427D3C"/>
    <w:rsid w:val="004302CD"/>
    <w:rsid w:val="00432163"/>
    <w:rsid w:val="00432C3F"/>
    <w:rsid w:val="004348AB"/>
    <w:rsid w:val="004352EA"/>
    <w:rsid w:val="00435516"/>
    <w:rsid w:val="00436624"/>
    <w:rsid w:val="0043688A"/>
    <w:rsid w:val="0043718B"/>
    <w:rsid w:val="00437450"/>
    <w:rsid w:val="00437581"/>
    <w:rsid w:val="0044016B"/>
    <w:rsid w:val="00440A9E"/>
    <w:rsid w:val="004416FF"/>
    <w:rsid w:val="004417CE"/>
    <w:rsid w:val="00442DC7"/>
    <w:rsid w:val="00443F2A"/>
    <w:rsid w:val="004468EA"/>
    <w:rsid w:val="00446B11"/>
    <w:rsid w:val="004514C3"/>
    <w:rsid w:val="00451DB3"/>
    <w:rsid w:val="004521D0"/>
    <w:rsid w:val="004527B6"/>
    <w:rsid w:val="0045337F"/>
    <w:rsid w:val="004533C8"/>
    <w:rsid w:val="0045420F"/>
    <w:rsid w:val="00454A43"/>
    <w:rsid w:val="00454C42"/>
    <w:rsid w:val="00455483"/>
    <w:rsid w:val="00455B49"/>
    <w:rsid w:val="00455E52"/>
    <w:rsid w:val="00455F07"/>
    <w:rsid w:val="00456728"/>
    <w:rsid w:val="00461A25"/>
    <w:rsid w:val="00462374"/>
    <w:rsid w:val="0046382D"/>
    <w:rsid w:val="004649F4"/>
    <w:rsid w:val="00464C2B"/>
    <w:rsid w:val="00466EA4"/>
    <w:rsid w:val="00466EE0"/>
    <w:rsid w:val="00467337"/>
    <w:rsid w:val="00467ECE"/>
    <w:rsid w:val="004700E5"/>
    <w:rsid w:val="004709DB"/>
    <w:rsid w:val="00470B78"/>
    <w:rsid w:val="0047238F"/>
    <w:rsid w:val="004726AF"/>
    <w:rsid w:val="00474969"/>
    <w:rsid w:val="00474D29"/>
    <w:rsid w:val="00474D79"/>
    <w:rsid w:val="004750E0"/>
    <w:rsid w:val="0047600B"/>
    <w:rsid w:val="00476074"/>
    <w:rsid w:val="00476D8E"/>
    <w:rsid w:val="004773BD"/>
    <w:rsid w:val="00477D02"/>
    <w:rsid w:val="0048050E"/>
    <w:rsid w:val="0048061F"/>
    <w:rsid w:val="004821E3"/>
    <w:rsid w:val="004823D1"/>
    <w:rsid w:val="00482631"/>
    <w:rsid w:val="00482BDB"/>
    <w:rsid w:val="00484143"/>
    <w:rsid w:val="00484389"/>
    <w:rsid w:val="004854F7"/>
    <w:rsid w:val="00485BC3"/>
    <w:rsid w:val="00485E47"/>
    <w:rsid w:val="0048751B"/>
    <w:rsid w:val="004902F1"/>
    <w:rsid w:val="00490C52"/>
    <w:rsid w:val="004923C1"/>
    <w:rsid w:val="0049291F"/>
    <w:rsid w:val="00492D87"/>
    <w:rsid w:val="0049348B"/>
    <w:rsid w:val="004939C8"/>
    <w:rsid w:val="00493F3F"/>
    <w:rsid w:val="00494434"/>
    <w:rsid w:val="00494692"/>
    <w:rsid w:val="00494880"/>
    <w:rsid w:val="00494F81"/>
    <w:rsid w:val="004952AC"/>
    <w:rsid w:val="004959BF"/>
    <w:rsid w:val="00496327"/>
    <w:rsid w:val="0049742B"/>
    <w:rsid w:val="004978B8"/>
    <w:rsid w:val="004A0D75"/>
    <w:rsid w:val="004A0EA9"/>
    <w:rsid w:val="004A1147"/>
    <w:rsid w:val="004A1680"/>
    <w:rsid w:val="004A254D"/>
    <w:rsid w:val="004A2643"/>
    <w:rsid w:val="004A32D6"/>
    <w:rsid w:val="004A3DC5"/>
    <w:rsid w:val="004A47E7"/>
    <w:rsid w:val="004A57C3"/>
    <w:rsid w:val="004A5C1E"/>
    <w:rsid w:val="004B153F"/>
    <w:rsid w:val="004B1F41"/>
    <w:rsid w:val="004B30DC"/>
    <w:rsid w:val="004B3ADB"/>
    <w:rsid w:val="004B4AD1"/>
    <w:rsid w:val="004B4B0B"/>
    <w:rsid w:val="004B4CE6"/>
    <w:rsid w:val="004B4EA7"/>
    <w:rsid w:val="004B52E4"/>
    <w:rsid w:val="004B5978"/>
    <w:rsid w:val="004B5EB7"/>
    <w:rsid w:val="004B6085"/>
    <w:rsid w:val="004B6CB7"/>
    <w:rsid w:val="004B6F47"/>
    <w:rsid w:val="004C057F"/>
    <w:rsid w:val="004C0B5F"/>
    <w:rsid w:val="004C2AA6"/>
    <w:rsid w:val="004C33F2"/>
    <w:rsid w:val="004C3BFC"/>
    <w:rsid w:val="004C4E35"/>
    <w:rsid w:val="004C4F97"/>
    <w:rsid w:val="004C592C"/>
    <w:rsid w:val="004C6081"/>
    <w:rsid w:val="004C679D"/>
    <w:rsid w:val="004C742A"/>
    <w:rsid w:val="004C7743"/>
    <w:rsid w:val="004D0B00"/>
    <w:rsid w:val="004D0D29"/>
    <w:rsid w:val="004D225A"/>
    <w:rsid w:val="004D358C"/>
    <w:rsid w:val="004D35AB"/>
    <w:rsid w:val="004D66D5"/>
    <w:rsid w:val="004D6E2E"/>
    <w:rsid w:val="004D749E"/>
    <w:rsid w:val="004E02F0"/>
    <w:rsid w:val="004E0FBD"/>
    <w:rsid w:val="004E289B"/>
    <w:rsid w:val="004E2D23"/>
    <w:rsid w:val="004E300B"/>
    <w:rsid w:val="004E4738"/>
    <w:rsid w:val="004E5908"/>
    <w:rsid w:val="004E5E2B"/>
    <w:rsid w:val="004E5E3E"/>
    <w:rsid w:val="004E5FA1"/>
    <w:rsid w:val="004E697C"/>
    <w:rsid w:val="004E6A07"/>
    <w:rsid w:val="004E790D"/>
    <w:rsid w:val="004E7B69"/>
    <w:rsid w:val="004F126B"/>
    <w:rsid w:val="004F2295"/>
    <w:rsid w:val="004F303B"/>
    <w:rsid w:val="004F39AA"/>
    <w:rsid w:val="004F3BAD"/>
    <w:rsid w:val="004F446F"/>
    <w:rsid w:val="004F48BB"/>
    <w:rsid w:val="004F6CBB"/>
    <w:rsid w:val="004F7136"/>
    <w:rsid w:val="004F7C0C"/>
    <w:rsid w:val="005009B8"/>
    <w:rsid w:val="00500B1D"/>
    <w:rsid w:val="00501D65"/>
    <w:rsid w:val="005028F2"/>
    <w:rsid w:val="00502986"/>
    <w:rsid w:val="00503015"/>
    <w:rsid w:val="00505A6B"/>
    <w:rsid w:val="00505C51"/>
    <w:rsid w:val="005060B8"/>
    <w:rsid w:val="005066A1"/>
    <w:rsid w:val="005069D3"/>
    <w:rsid w:val="00506FE1"/>
    <w:rsid w:val="00507118"/>
    <w:rsid w:val="005072FB"/>
    <w:rsid w:val="00507866"/>
    <w:rsid w:val="005106D1"/>
    <w:rsid w:val="0051118B"/>
    <w:rsid w:val="0051175C"/>
    <w:rsid w:val="005124BF"/>
    <w:rsid w:val="0051262D"/>
    <w:rsid w:val="00514B44"/>
    <w:rsid w:val="005150A8"/>
    <w:rsid w:val="0051585B"/>
    <w:rsid w:val="00516132"/>
    <w:rsid w:val="0051627F"/>
    <w:rsid w:val="00516339"/>
    <w:rsid w:val="00520024"/>
    <w:rsid w:val="00521F9F"/>
    <w:rsid w:val="0052205A"/>
    <w:rsid w:val="0052222B"/>
    <w:rsid w:val="00522796"/>
    <w:rsid w:val="00522DB1"/>
    <w:rsid w:val="00524192"/>
    <w:rsid w:val="00524F19"/>
    <w:rsid w:val="005251F0"/>
    <w:rsid w:val="00526EC6"/>
    <w:rsid w:val="00527907"/>
    <w:rsid w:val="00527F5F"/>
    <w:rsid w:val="0053079B"/>
    <w:rsid w:val="0053156A"/>
    <w:rsid w:val="005321F3"/>
    <w:rsid w:val="00532CC4"/>
    <w:rsid w:val="005330B4"/>
    <w:rsid w:val="005334F3"/>
    <w:rsid w:val="00533D5D"/>
    <w:rsid w:val="00534F4F"/>
    <w:rsid w:val="0053515A"/>
    <w:rsid w:val="005352A0"/>
    <w:rsid w:val="00535AB3"/>
    <w:rsid w:val="00537A52"/>
    <w:rsid w:val="005406D8"/>
    <w:rsid w:val="00540F7F"/>
    <w:rsid w:val="00541584"/>
    <w:rsid w:val="0054183F"/>
    <w:rsid w:val="005419E4"/>
    <w:rsid w:val="00541D50"/>
    <w:rsid w:val="005421C7"/>
    <w:rsid w:val="00542EE1"/>
    <w:rsid w:val="00543401"/>
    <w:rsid w:val="00543A9E"/>
    <w:rsid w:val="00543BC4"/>
    <w:rsid w:val="00543BDD"/>
    <w:rsid w:val="00543F64"/>
    <w:rsid w:val="0054640F"/>
    <w:rsid w:val="0054653A"/>
    <w:rsid w:val="005477F2"/>
    <w:rsid w:val="00550E92"/>
    <w:rsid w:val="005519EB"/>
    <w:rsid w:val="00552EF7"/>
    <w:rsid w:val="005540F2"/>
    <w:rsid w:val="0055450B"/>
    <w:rsid w:val="00554CE8"/>
    <w:rsid w:val="0055535B"/>
    <w:rsid w:val="005558C6"/>
    <w:rsid w:val="0055613F"/>
    <w:rsid w:val="005564B4"/>
    <w:rsid w:val="005566EE"/>
    <w:rsid w:val="0056123C"/>
    <w:rsid w:val="00561B95"/>
    <w:rsid w:val="005626F9"/>
    <w:rsid w:val="00562785"/>
    <w:rsid w:val="00562BEF"/>
    <w:rsid w:val="00563561"/>
    <w:rsid w:val="00564313"/>
    <w:rsid w:val="00564E95"/>
    <w:rsid w:val="00565E96"/>
    <w:rsid w:val="00565FCE"/>
    <w:rsid w:val="005674C0"/>
    <w:rsid w:val="005702ED"/>
    <w:rsid w:val="00570A29"/>
    <w:rsid w:val="00570E94"/>
    <w:rsid w:val="005714A9"/>
    <w:rsid w:val="00571DB8"/>
    <w:rsid w:val="00572411"/>
    <w:rsid w:val="005725AD"/>
    <w:rsid w:val="00572EBF"/>
    <w:rsid w:val="00573082"/>
    <w:rsid w:val="00573BCB"/>
    <w:rsid w:val="00574A96"/>
    <w:rsid w:val="005754D5"/>
    <w:rsid w:val="00575EA0"/>
    <w:rsid w:val="00576D5F"/>
    <w:rsid w:val="00576D62"/>
    <w:rsid w:val="00576F10"/>
    <w:rsid w:val="00580B6B"/>
    <w:rsid w:val="00581444"/>
    <w:rsid w:val="005815A1"/>
    <w:rsid w:val="00581E53"/>
    <w:rsid w:val="005828F1"/>
    <w:rsid w:val="005832E9"/>
    <w:rsid w:val="005849F5"/>
    <w:rsid w:val="0058566C"/>
    <w:rsid w:val="00585CDD"/>
    <w:rsid w:val="00586F99"/>
    <w:rsid w:val="00587989"/>
    <w:rsid w:val="00587A16"/>
    <w:rsid w:val="00590301"/>
    <w:rsid w:val="00590696"/>
    <w:rsid w:val="00590D14"/>
    <w:rsid w:val="005913B6"/>
    <w:rsid w:val="005921FC"/>
    <w:rsid w:val="00592DE1"/>
    <w:rsid w:val="00593F38"/>
    <w:rsid w:val="005941DD"/>
    <w:rsid w:val="005944E9"/>
    <w:rsid w:val="0059464D"/>
    <w:rsid w:val="00594975"/>
    <w:rsid w:val="005951DA"/>
    <w:rsid w:val="005952BA"/>
    <w:rsid w:val="00595B00"/>
    <w:rsid w:val="00595E47"/>
    <w:rsid w:val="00595FD1"/>
    <w:rsid w:val="00597C6A"/>
    <w:rsid w:val="00597C73"/>
    <w:rsid w:val="005A04BC"/>
    <w:rsid w:val="005A3200"/>
    <w:rsid w:val="005A3957"/>
    <w:rsid w:val="005A3DB6"/>
    <w:rsid w:val="005A429B"/>
    <w:rsid w:val="005A47CE"/>
    <w:rsid w:val="005A559C"/>
    <w:rsid w:val="005A5F55"/>
    <w:rsid w:val="005A6021"/>
    <w:rsid w:val="005A74D8"/>
    <w:rsid w:val="005A781A"/>
    <w:rsid w:val="005B0B10"/>
    <w:rsid w:val="005B0CDD"/>
    <w:rsid w:val="005B148A"/>
    <w:rsid w:val="005B1BEE"/>
    <w:rsid w:val="005B2C0D"/>
    <w:rsid w:val="005B2CE0"/>
    <w:rsid w:val="005B39DE"/>
    <w:rsid w:val="005B4026"/>
    <w:rsid w:val="005B645D"/>
    <w:rsid w:val="005B6A3A"/>
    <w:rsid w:val="005B7AF4"/>
    <w:rsid w:val="005C06A8"/>
    <w:rsid w:val="005C0DE1"/>
    <w:rsid w:val="005C1147"/>
    <w:rsid w:val="005C14D3"/>
    <w:rsid w:val="005C177A"/>
    <w:rsid w:val="005C20C9"/>
    <w:rsid w:val="005C2AF3"/>
    <w:rsid w:val="005C3519"/>
    <w:rsid w:val="005C37EB"/>
    <w:rsid w:val="005C5042"/>
    <w:rsid w:val="005C774D"/>
    <w:rsid w:val="005C784C"/>
    <w:rsid w:val="005C7DF7"/>
    <w:rsid w:val="005D038A"/>
    <w:rsid w:val="005D094E"/>
    <w:rsid w:val="005D0C49"/>
    <w:rsid w:val="005D12F0"/>
    <w:rsid w:val="005D141B"/>
    <w:rsid w:val="005D1A50"/>
    <w:rsid w:val="005D1E5C"/>
    <w:rsid w:val="005D2614"/>
    <w:rsid w:val="005D2BD1"/>
    <w:rsid w:val="005D2F3B"/>
    <w:rsid w:val="005D3033"/>
    <w:rsid w:val="005D3476"/>
    <w:rsid w:val="005D490A"/>
    <w:rsid w:val="005D4E08"/>
    <w:rsid w:val="005D5442"/>
    <w:rsid w:val="005D5E26"/>
    <w:rsid w:val="005D5E92"/>
    <w:rsid w:val="005D66CD"/>
    <w:rsid w:val="005D73F4"/>
    <w:rsid w:val="005D7421"/>
    <w:rsid w:val="005D7DE4"/>
    <w:rsid w:val="005E0ED0"/>
    <w:rsid w:val="005E15F7"/>
    <w:rsid w:val="005E18F9"/>
    <w:rsid w:val="005E2B2B"/>
    <w:rsid w:val="005E34AA"/>
    <w:rsid w:val="005E39E8"/>
    <w:rsid w:val="005E41F1"/>
    <w:rsid w:val="005E4600"/>
    <w:rsid w:val="005E56E8"/>
    <w:rsid w:val="005E70A5"/>
    <w:rsid w:val="005E7236"/>
    <w:rsid w:val="005F0851"/>
    <w:rsid w:val="005F309F"/>
    <w:rsid w:val="005F3464"/>
    <w:rsid w:val="005F3ABC"/>
    <w:rsid w:val="005F462A"/>
    <w:rsid w:val="005F4950"/>
    <w:rsid w:val="005F73A0"/>
    <w:rsid w:val="005F7E2A"/>
    <w:rsid w:val="00600274"/>
    <w:rsid w:val="00600776"/>
    <w:rsid w:val="00601A15"/>
    <w:rsid w:val="00601DDA"/>
    <w:rsid w:val="0060236A"/>
    <w:rsid w:val="00602AA4"/>
    <w:rsid w:val="00602D0B"/>
    <w:rsid w:val="00602EEE"/>
    <w:rsid w:val="0060326F"/>
    <w:rsid w:val="006037A3"/>
    <w:rsid w:val="00603A1D"/>
    <w:rsid w:val="00605529"/>
    <w:rsid w:val="006056A9"/>
    <w:rsid w:val="00605BAB"/>
    <w:rsid w:val="00605C43"/>
    <w:rsid w:val="00606A1A"/>
    <w:rsid w:val="00610562"/>
    <w:rsid w:val="00610A60"/>
    <w:rsid w:val="0061202B"/>
    <w:rsid w:val="006127A2"/>
    <w:rsid w:val="006129A6"/>
    <w:rsid w:val="00613C11"/>
    <w:rsid w:val="00613E47"/>
    <w:rsid w:val="006148E8"/>
    <w:rsid w:val="00615158"/>
    <w:rsid w:val="00615B31"/>
    <w:rsid w:val="00616081"/>
    <w:rsid w:val="0061619A"/>
    <w:rsid w:val="0061745E"/>
    <w:rsid w:val="00620091"/>
    <w:rsid w:val="00620FD7"/>
    <w:rsid w:val="00621563"/>
    <w:rsid w:val="0062156D"/>
    <w:rsid w:val="00622325"/>
    <w:rsid w:val="00622370"/>
    <w:rsid w:val="0062289A"/>
    <w:rsid w:val="006228EC"/>
    <w:rsid w:val="006235E2"/>
    <w:rsid w:val="006240EB"/>
    <w:rsid w:val="00624458"/>
    <w:rsid w:val="0062487B"/>
    <w:rsid w:val="006249DE"/>
    <w:rsid w:val="006258C2"/>
    <w:rsid w:val="00625C30"/>
    <w:rsid w:val="006269EA"/>
    <w:rsid w:val="00626F5F"/>
    <w:rsid w:val="00630964"/>
    <w:rsid w:val="00630B11"/>
    <w:rsid w:val="00630E6D"/>
    <w:rsid w:val="00631266"/>
    <w:rsid w:val="00631C6B"/>
    <w:rsid w:val="006322D6"/>
    <w:rsid w:val="00633CF9"/>
    <w:rsid w:val="00634978"/>
    <w:rsid w:val="006353C1"/>
    <w:rsid w:val="00635E1A"/>
    <w:rsid w:val="00640B41"/>
    <w:rsid w:val="0064226C"/>
    <w:rsid w:val="006429B9"/>
    <w:rsid w:val="00643BDB"/>
    <w:rsid w:val="006446B8"/>
    <w:rsid w:val="0064475B"/>
    <w:rsid w:val="006449E1"/>
    <w:rsid w:val="00645660"/>
    <w:rsid w:val="006459B1"/>
    <w:rsid w:val="00645E20"/>
    <w:rsid w:val="00646BA9"/>
    <w:rsid w:val="00647F3D"/>
    <w:rsid w:val="0065123D"/>
    <w:rsid w:val="006513A8"/>
    <w:rsid w:val="0065210B"/>
    <w:rsid w:val="0065353B"/>
    <w:rsid w:val="006540D0"/>
    <w:rsid w:val="00654A04"/>
    <w:rsid w:val="00655218"/>
    <w:rsid w:val="006554DF"/>
    <w:rsid w:val="0065551E"/>
    <w:rsid w:val="00656454"/>
    <w:rsid w:val="006574DE"/>
    <w:rsid w:val="00657CBC"/>
    <w:rsid w:val="00657EA9"/>
    <w:rsid w:val="006614D8"/>
    <w:rsid w:val="00661C48"/>
    <w:rsid w:val="00662E10"/>
    <w:rsid w:val="00663683"/>
    <w:rsid w:val="00663EBB"/>
    <w:rsid w:val="006650C2"/>
    <w:rsid w:val="006654F9"/>
    <w:rsid w:val="00665522"/>
    <w:rsid w:val="0066668F"/>
    <w:rsid w:val="00667CEC"/>
    <w:rsid w:val="00670201"/>
    <w:rsid w:val="00671312"/>
    <w:rsid w:val="00672467"/>
    <w:rsid w:val="00673300"/>
    <w:rsid w:val="0067330E"/>
    <w:rsid w:val="00673BF9"/>
    <w:rsid w:val="00674465"/>
    <w:rsid w:val="00674843"/>
    <w:rsid w:val="00675E0E"/>
    <w:rsid w:val="006764EC"/>
    <w:rsid w:val="006766A5"/>
    <w:rsid w:val="006771A1"/>
    <w:rsid w:val="006773C4"/>
    <w:rsid w:val="006775C4"/>
    <w:rsid w:val="00677992"/>
    <w:rsid w:val="006779A2"/>
    <w:rsid w:val="006809EB"/>
    <w:rsid w:val="00681316"/>
    <w:rsid w:val="006824FF"/>
    <w:rsid w:val="006826B3"/>
    <w:rsid w:val="00683234"/>
    <w:rsid w:val="006836AC"/>
    <w:rsid w:val="00684D25"/>
    <w:rsid w:val="0068502F"/>
    <w:rsid w:val="00685906"/>
    <w:rsid w:val="006868F6"/>
    <w:rsid w:val="00686EF9"/>
    <w:rsid w:val="006870E0"/>
    <w:rsid w:val="0068773F"/>
    <w:rsid w:val="00687B7F"/>
    <w:rsid w:val="0069014A"/>
    <w:rsid w:val="0069043A"/>
    <w:rsid w:val="006910BD"/>
    <w:rsid w:val="0069200A"/>
    <w:rsid w:val="00692AD6"/>
    <w:rsid w:val="00692B62"/>
    <w:rsid w:val="00693297"/>
    <w:rsid w:val="00693A82"/>
    <w:rsid w:val="00693BA6"/>
    <w:rsid w:val="00693CCC"/>
    <w:rsid w:val="00694508"/>
    <w:rsid w:val="006948F2"/>
    <w:rsid w:val="0069559F"/>
    <w:rsid w:val="00695CFB"/>
    <w:rsid w:val="00695D53"/>
    <w:rsid w:val="00696130"/>
    <w:rsid w:val="0069632A"/>
    <w:rsid w:val="00697040"/>
    <w:rsid w:val="006974FE"/>
    <w:rsid w:val="00697789"/>
    <w:rsid w:val="00697CED"/>
    <w:rsid w:val="006A07A3"/>
    <w:rsid w:val="006A0961"/>
    <w:rsid w:val="006A0D82"/>
    <w:rsid w:val="006A0FFD"/>
    <w:rsid w:val="006A1000"/>
    <w:rsid w:val="006A1290"/>
    <w:rsid w:val="006A24C9"/>
    <w:rsid w:val="006A25C6"/>
    <w:rsid w:val="006A2D5D"/>
    <w:rsid w:val="006A38C5"/>
    <w:rsid w:val="006A3B6A"/>
    <w:rsid w:val="006A5257"/>
    <w:rsid w:val="006A5535"/>
    <w:rsid w:val="006A577F"/>
    <w:rsid w:val="006A5ECE"/>
    <w:rsid w:val="006A61BA"/>
    <w:rsid w:val="006A6995"/>
    <w:rsid w:val="006A6AD6"/>
    <w:rsid w:val="006A6C17"/>
    <w:rsid w:val="006A7A2E"/>
    <w:rsid w:val="006B1465"/>
    <w:rsid w:val="006B2DAD"/>
    <w:rsid w:val="006B2DF9"/>
    <w:rsid w:val="006B3B94"/>
    <w:rsid w:val="006B50B4"/>
    <w:rsid w:val="006B54E9"/>
    <w:rsid w:val="006B79C1"/>
    <w:rsid w:val="006B7FEF"/>
    <w:rsid w:val="006C0DD4"/>
    <w:rsid w:val="006C16E9"/>
    <w:rsid w:val="006C54D6"/>
    <w:rsid w:val="006C57BF"/>
    <w:rsid w:val="006C6A5A"/>
    <w:rsid w:val="006C6E38"/>
    <w:rsid w:val="006C7F00"/>
    <w:rsid w:val="006D02CF"/>
    <w:rsid w:val="006D13AC"/>
    <w:rsid w:val="006D29A2"/>
    <w:rsid w:val="006D33E6"/>
    <w:rsid w:val="006D3CE1"/>
    <w:rsid w:val="006D43B1"/>
    <w:rsid w:val="006D5177"/>
    <w:rsid w:val="006D6596"/>
    <w:rsid w:val="006D71DE"/>
    <w:rsid w:val="006E0901"/>
    <w:rsid w:val="006E18FF"/>
    <w:rsid w:val="006E19C0"/>
    <w:rsid w:val="006E1A5A"/>
    <w:rsid w:val="006E1AC2"/>
    <w:rsid w:val="006E1B60"/>
    <w:rsid w:val="006E30A0"/>
    <w:rsid w:val="006E3B52"/>
    <w:rsid w:val="006E5C7C"/>
    <w:rsid w:val="006E6623"/>
    <w:rsid w:val="006E6A59"/>
    <w:rsid w:val="006E73D1"/>
    <w:rsid w:val="006F11FC"/>
    <w:rsid w:val="006F1473"/>
    <w:rsid w:val="006F16DF"/>
    <w:rsid w:val="006F1FA8"/>
    <w:rsid w:val="006F268D"/>
    <w:rsid w:val="006F28AC"/>
    <w:rsid w:val="006F3682"/>
    <w:rsid w:val="006F5190"/>
    <w:rsid w:val="006F6A6A"/>
    <w:rsid w:val="006F6AB9"/>
    <w:rsid w:val="006F6B7D"/>
    <w:rsid w:val="006F77AD"/>
    <w:rsid w:val="00700459"/>
    <w:rsid w:val="00700C81"/>
    <w:rsid w:val="0070184C"/>
    <w:rsid w:val="00701957"/>
    <w:rsid w:val="00701E2A"/>
    <w:rsid w:val="0070200A"/>
    <w:rsid w:val="00702199"/>
    <w:rsid w:val="00702205"/>
    <w:rsid w:val="00702FEA"/>
    <w:rsid w:val="00703946"/>
    <w:rsid w:val="00703B09"/>
    <w:rsid w:val="00703F6A"/>
    <w:rsid w:val="007044A3"/>
    <w:rsid w:val="00705C5A"/>
    <w:rsid w:val="007061AA"/>
    <w:rsid w:val="00707659"/>
    <w:rsid w:val="0070789B"/>
    <w:rsid w:val="00710680"/>
    <w:rsid w:val="00710F18"/>
    <w:rsid w:val="00711E73"/>
    <w:rsid w:val="00711F05"/>
    <w:rsid w:val="0071216A"/>
    <w:rsid w:val="007124FF"/>
    <w:rsid w:val="0071253D"/>
    <w:rsid w:val="007134DC"/>
    <w:rsid w:val="0071378D"/>
    <w:rsid w:val="00713DD8"/>
    <w:rsid w:val="007171AB"/>
    <w:rsid w:val="00717440"/>
    <w:rsid w:val="00721D5E"/>
    <w:rsid w:val="00722992"/>
    <w:rsid w:val="00723B0A"/>
    <w:rsid w:val="0072475D"/>
    <w:rsid w:val="00724B89"/>
    <w:rsid w:val="007270CE"/>
    <w:rsid w:val="0072752D"/>
    <w:rsid w:val="0072796B"/>
    <w:rsid w:val="00730B5C"/>
    <w:rsid w:val="007311B0"/>
    <w:rsid w:val="00731813"/>
    <w:rsid w:val="00731B35"/>
    <w:rsid w:val="00732977"/>
    <w:rsid w:val="00732D93"/>
    <w:rsid w:val="00732DC2"/>
    <w:rsid w:val="00733515"/>
    <w:rsid w:val="0073374D"/>
    <w:rsid w:val="00736238"/>
    <w:rsid w:val="0073746B"/>
    <w:rsid w:val="007378FF"/>
    <w:rsid w:val="0074129C"/>
    <w:rsid w:val="0074192C"/>
    <w:rsid w:val="00741C2C"/>
    <w:rsid w:val="00741E5B"/>
    <w:rsid w:val="00741E6A"/>
    <w:rsid w:val="0074336F"/>
    <w:rsid w:val="00747998"/>
    <w:rsid w:val="007515EC"/>
    <w:rsid w:val="007518B0"/>
    <w:rsid w:val="007523BD"/>
    <w:rsid w:val="007529D9"/>
    <w:rsid w:val="0075301A"/>
    <w:rsid w:val="00753CAC"/>
    <w:rsid w:val="00754533"/>
    <w:rsid w:val="007546FC"/>
    <w:rsid w:val="007549D9"/>
    <w:rsid w:val="00756974"/>
    <w:rsid w:val="00756AF8"/>
    <w:rsid w:val="00756C2F"/>
    <w:rsid w:val="00757571"/>
    <w:rsid w:val="00760D9C"/>
    <w:rsid w:val="00761576"/>
    <w:rsid w:val="00761658"/>
    <w:rsid w:val="007616C2"/>
    <w:rsid w:val="00761B24"/>
    <w:rsid w:val="00761BA0"/>
    <w:rsid w:val="00762932"/>
    <w:rsid w:val="007639E9"/>
    <w:rsid w:val="007673E4"/>
    <w:rsid w:val="007674A8"/>
    <w:rsid w:val="00767C6D"/>
    <w:rsid w:val="00767D44"/>
    <w:rsid w:val="00767DB8"/>
    <w:rsid w:val="00770585"/>
    <w:rsid w:val="007708A0"/>
    <w:rsid w:val="007708DA"/>
    <w:rsid w:val="007716CD"/>
    <w:rsid w:val="00771D76"/>
    <w:rsid w:val="007727D0"/>
    <w:rsid w:val="007732C3"/>
    <w:rsid w:val="00773541"/>
    <w:rsid w:val="00773D10"/>
    <w:rsid w:val="0077431A"/>
    <w:rsid w:val="007744CD"/>
    <w:rsid w:val="00774E0C"/>
    <w:rsid w:val="00774F41"/>
    <w:rsid w:val="00775FBD"/>
    <w:rsid w:val="00776594"/>
    <w:rsid w:val="00776F49"/>
    <w:rsid w:val="00776F96"/>
    <w:rsid w:val="00777938"/>
    <w:rsid w:val="0078042C"/>
    <w:rsid w:val="007809A8"/>
    <w:rsid w:val="00781D78"/>
    <w:rsid w:val="0078261C"/>
    <w:rsid w:val="00784C77"/>
    <w:rsid w:val="00785F13"/>
    <w:rsid w:val="00786B43"/>
    <w:rsid w:val="00787377"/>
    <w:rsid w:val="00787A69"/>
    <w:rsid w:val="00790A66"/>
    <w:rsid w:val="0079149F"/>
    <w:rsid w:val="00792155"/>
    <w:rsid w:val="007925B7"/>
    <w:rsid w:val="007934F8"/>
    <w:rsid w:val="00793CD3"/>
    <w:rsid w:val="00794471"/>
    <w:rsid w:val="0079492D"/>
    <w:rsid w:val="00795162"/>
    <w:rsid w:val="00795A2E"/>
    <w:rsid w:val="00796219"/>
    <w:rsid w:val="007979B1"/>
    <w:rsid w:val="007A01DE"/>
    <w:rsid w:val="007A0EF2"/>
    <w:rsid w:val="007A1DE7"/>
    <w:rsid w:val="007A3BE2"/>
    <w:rsid w:val="007A3C51"/>
    <w:rsid w:val="007A3FE3"/>
    <w:rsid w:val="007A40CB"/>
    <w:rsid w:val="007A535A"/>
    <w:rsid w:val="007A5395"/>
    <w:rsid w:val="007A5DCF"/>
    <w:rsid w:val="007A63B2"/>
    <w:rsid w:val="007A6E52"/>
    <w:rsid w:val="007A77DA"/>
    <w:rsid w:val="007B06B3"/>
    <w:rsid w:val="007B23AB"/>
    <w:rsid w:val="007B268F"/>
    <w:rsid w:val="007B2F6E"/>
    <w:rsid w:val="007B33A5"/>
    <w:rsid w:val="007B34F2"/>
    <w:rsid w:val="007B3930"/>
    <w:rsid w:val="007B39E2"/>
    <w:rsid w:val="007B42B0"/>
    <w:rsid w:val="007B6CDD"/>
    <w:rsid w:val="007B76ED"/>
    <w:rsid w:val="007B7F9F"/>
    <w:rsid w:val="007C060D"/>
    <w:rsid w:val="007C1089"/>
    <w:rsid w:val="007C2428"/>
    <w:rsid w:val="007C3D90"/>
    <w:rsid w:val="007C4158"/>
    <w:rsid w:val="007C51E8"/>
    <w:rsid w:val="007C56FE"/>
    <w:rsid w:val="007C5714"/>
    <w:rsid w:val="007C5BFE"/>
    <w:rsid w:val="007C6AE9"/>
    <w:rsid w:val="007C6D55"/>
    <w:rsid w:val="007C7DA9"/>
    <w:rsid w:val="007D0127"/>
    <w:rsid w:val="007D2086"/>
    <w:rsid w:val="007D23AB"/>
    <w:rsid w:val="007D44D0"/>
    <w:rsid w:val="007D4D60"/>
    <w:rsid w:val="007D513D"/>
    <w:rsid w:val="007D5EB7"/>
    <w:rsid w:val="007D65CB"/>
    <w:rsid w:val="007D6D75"/>
    <w:rsid w:val="007E0E02"/>
    <w:rsid w:val="007E0F0D"/>
    <w:rsid w:val="007E142C"/>
    <w:rsid w:val="007E1788"/>
    <w:rsid w:val="007E22DD"/>
    <w:rsid w:val="007E29E6"/>
    <w:rsid w:val="007E2D26"/>
    <w:rsid w:val="007E368D"/>
    <w:rsid w:val="007E3A44"/>
    <w:rsid w:val="007E3E27"/>
    <w:rsid w:val="007E5A88"/>
    <w:rsid w:val="007E5B85"/>
    <w:rsid w:val="007E66D0"/>
    <w:rsid w:val="007E7CF5"/>
    <w:rsid w:val="007F03AC"/>
    <w:rsid w:val="007F14D7"/>
    <w:rsid w:val="007F19E7"/>
    <w:rsid w:val="007F1F2A"/>
    <w:rsid w:val="007F21C3"/>
    <w:rsid w:val="007F35E1"/>
    <w:rsid w:val="007F3A05"/>
    <w:rsid w:val="007F4454"/>
    <w:rsid w:val="007F458E"/>
    <w:rsid w:val="007F5586"/>
    <w:rsid w:val="007F6A99"/>
    <w:rsid w:val="007F6DED"/>
    <w:rsid w:val="007F71AF"/>
    <w:rsid w:val="0080081E"/>
    <w:rsid w:val="008017DD"/>
    <w:rsid w:val="00801ECA"/>
    <w:rsid w:val="00802BF2"/>
    <w:rsid w:val="00802D12"/>
    <w:rsid w:val="0080494F"/>
    <w:rsid w:val="00804F6A"/>
    <w:rsid w:val="0080501E"/>
    <w:rsid w:val="00806229"/>
    <w:rsid w:val="00806EA5"/>
    <w:rsid w:val="0081099D"/>
    <w:rsid w:val="00811291"/>
    <w:rsid w:val="0081145C"/>
    <w:rsid w:val="0081165A"/>
    <w:rsid w:val="00811925"/>
    <w:rsid w:val="00812BBE"/>
    <w:rsid w:val="00813841"/>
    <w:rsid w:val="00813C15"/>
    <w:rsid w:val="00813D15"/>
    <w:rsid w:val="00813D28"/>
    <w:rsid w:val="00814314"/>
    <w:rsid w:val="00814843"/>
    <w:rsid w:val="00816659"/>
    <w:rsid w:val="00817C29"/>
    <w:rsid w:val="00822949"/>
    <w:rsid w:val="00822A55"/>
    <w:rsid w:val="008238CD"/>
    <w:rsid w:val="00824188"/>
    <w:rsid w:val="00826608"/>
    <w:rsid w:val="008270B1"/>
    <w:rsid w:val="00830623"/>
    <w:rsid w:val="00830FB3"/>
    <w:rsid w:val="008312EE"/>
    <w:rsid w:val="008317B0"/>
    <w:rsid w:val="00831A02"/>
    <w:rsid w:val="008322D8"/>
    <w:rsid w:val="008325BE"/>
    <w:rsid w:val="0083373D"/>
    <w:rsid w:val="00833849"/>
    <w:rsid w:val="00833FC5"/>
    <w:rsid w:val="00834545"/>
    <w:rsid w:val="0083485F"/>
    <w:rsid w:val="0083495B"/>
    <w:rsid w:val="00834F51"/>
    <w:rsid w:val="00835299"/>
    <w:rsid w:val="00835C2E"/>
    <w:rsid w:val="00835DC1"/>
    <w:rsid w:val="00836CB9"/>
    <w:rsid w:val="00837067"/>
    <w:rsid w:val="008377FD"/>
    <w:rsid w:val="00837B2C"/>
    <w:rsid w:val="0084023B"/>
    <w:rsid w:val="008422DD"/>
    <w:rsid w:val="00842C98"/>
    <w:rsid w:val="00843C35"/>
    <w:rsid w:val="0084430B"/>
    <w:rsid w:val="008443E0"/>
    <w:rsid w:val="00844D3B"/>
    <w:rsid w:val="008452BD"/>
    <w:rsid w:val="00846270"/>
    <w:rsid w:val="008466F7"/>
    <w:rsid w:val="00846909"/>
    <w:rsid w:val="008473FD"/>
    <w:rsid w:val="00847450"/>
    <w:rsid w:val="008474F3"/>
    <w:rsid w:val="00847994"/>
    <w:rsid w:val="00847B59"/>
    <w:rsid w:val="008512F3"/>
    <w:rsid w:val="00851DA4"/>
    <w:rsid w:val="00853BE4"/>
    <w:rsid w:val="00853DAA"/>
    <w:rsid w:val="008542E2"/>
    <w:rsid w:val="00854DF1"/>
    <w:rsid w:val="00856195"/>
    <w:rsid w:val="0085641B"/>
    <w:rsid w:val="00857AC2"/>
    <w:rsid w:val="00857AC5"/>
    <w:rsid w:val="00857CD1"/>
    <w:rsid w:val="00860090"/>
    <w:rsid w:val="00861D64"/>
    <w:rsid w:val="00863379"/>
    <w:rsid w:val="008634F2"/>
    <w:rsid w:val="00863E57"/>
    <w:rsid w:val="00864A27"/>
    <w:rsid w:val="00864AE5"/>
    <w:rsid w:val="00864D87"/>
    <w:rsid w:val="00864E77"/>
    <w:rsid w:val="00865183"/>
    <w:rsid w:val="00866C73"/>
    <w:rsid w:val="008717B6"/>
    <w:rsid w:val="00872836"/>
    <w:rsid w:val="00872B05"/>
    <w:rsid w:val="00872B36"/>
    <w:rsid w:val="00872F6E"/>
    <w:rsid w:val="00873A3B"/>
    <w:rsid w:val="00874249"/>
    <w:rsid w:val="0087443E"/>
    <w:rsid w:val="00874510"/>
    <w:rsid w:val="0087493E"/>
    <w:rsid w:val="00874995"/>
    <w:rsid w:val="00874D81"/>
    <w:rsid w:val="008750AF"/>
    <w:rsid w:val="00875297"/>
    <w:rsid w:val="0087557B"/>
    <w:rsid w:val="00875C51"/>
    <w:rsid w:val="00877152"/>
    <w:rsid w:val="00877524"/>
    <w:rsid w:val="00877A62"/>
    <w:rsid w:val="008800B6"/>
    <w:rsid w:val="0088028C"/>
    <w:rsid w:val="00881117"/>
    <w:rsid w:val="00881397"/>
    <w:rsid w:val="00882090"/>
    <w:rsid w:val="008820CC"/>
    <w:rsid w:val="00882E97"/>
    <w:rsid w:val="00883293"/>
    <w:rsid w:val="0088388C"/>
    <w:rsid w:val="008855CE"/>
    <w:rsid w:val="00885A91"/>
    <w:rsid w:val="00885BB0"/>
    <w:rsid w:val="00885D47"/>
    <w:rsid w:val="00887674"/>
    <w:rsid w:val="008876C1"/>
    <w:rsid w:val="008904C1"/>
    <w:rsid w:val="00891577"/>
    <w:rsid w:val="00892CAB"/>
    <w:rsid w:val="008937CF"/>
    <w:rsid w:val="0089484D"/>
    <w:rsid w:val="008950E0"/>
    <w:rsid w:val="00895A38"/>
    <w:rsid w:val="0089647C"/>
    <w:rsid w:val="008974B7"/>
    <w:rsid w:val="008A193F"/>
    <w:rsid w:val="008A2B92"/>
    <w:rsid w:val="008A2DC5"/>
    <w:rsid w:val="008A33B5"/>
    <w:rsid w:val="008A4771"/>
    <w:rsid w:val="008A4942"/>
    <w:rsid w:val="008A4AF0"/>
    <w:rsid w:val="008A6E86"/>
    <w:rsid w:val="008A7C9F"/>
    <w:rsid w:val="008B0520"/>
    <w:rsid w:val="008B194C"/>
    <w:rsid w:val="008B2E01"/>
    <w:rsid w:val="008B3701"/>
    <w:rsid w:val="008B3AF4"/>
    <w:rsid w:val="008B3B9E"/>
    <w:rsid w:val="008B3E5A"/>
    <w:rsid w:val="008B65DA"/>
    <w:rsid w:val="008B6A96"/>
    <w:rsid w:val="008B7D02"/>
    <w:rsid w:val="008B7FA1"/>
    <w:rsid w:val="008C06AA"/>
    <w:rsid w:val="008C0D5A"/>
    <w:rsid w:val="008C0F00"/>
    <w:rsid w:val="008C3A12"/>
    <w:rsid w:val="008C3D84"/>
    <w:rsid w:val="008C4AD6"/>
    <w:rsid w:val="008C4F08"/>
    <w:rsid w:val="008C5702"/>
    <w:rsid w:val="008C5CEE"/>
    <w:rsid w:val="008C66B0"/>
    <w:rsid w:val="008C6BD7"/>
    <w:rsid w:val="008C7A41"/>
    <w:rsid w:val="008D0311"/>
    <w:rsid w:val="008D08D1"/>
    <w:rsid w:val="008D0A46"/>
    <w:rsid w:val="008D0BD8"/>
    <w:rsid w:val="008D1712"/>
    <w:rsid w:val="008D2501"/>
    <w:rsid w:val="008D2831"/>
    <w:rsid w:val="008D2FF2"/>
    <w:rsid w:val="008D349C"/>
    <w:rsid w:val="008D3EAE"/>
    <w:rsid w:val="008D48D7"/>
    <w:rsid w:val="008D4D75"/>
    <w:rsid w:val="008D53E7"/>
    <w:rsid w:val="008D62CB"/>
    <w:rsid w:val="008D6E4C"/>
    <w:rsid w:val="008D732A"/>
    <w:rsid w:val="008D7F64"/>
    <w:rsid w:val="008E213E"/>
    <w:rsid w:val="008E275F"/>
    <w:rsid w:val="008E2E4C"/>
    <w:rsid w:val="008E2FF6"/>
    <w:rsid w:val="008E3014"/>
    <w:rsid w:val="008E36C5"/>
    <w:rsid w:val="008E4E8F"/>
    <w:rsid w:val="008E55B8"/>
    <w:rsid w:val="008E64E1"/>
    <w:rsid w:val="008E6BB3"/>
    <w:rsid w:val="008E7452"/>
    <w:rsid w:val="008F06A4"/>
    <w:rsid w:val="008F0D1B"/>
    <w:rsid w:val="008F1019"/>
    <w:rsid w:val="008F2A0B"/>
    <w:rsid w:val="008F39D0"/>
    <w:rsid w:val="008F3D16"/>
    <w:rsid w:val="008F554D"/>
    <w:rsid w:val="008F684F"/>
    <w:rsid w:val="008F6ECA"/>
    <w:rsid w:val="008F7966"/>
    <w:rsid w:val="009012CF"/>
    <w:rsid w:val="0090131F"/>
    <w:rsid w:val="00901C7D"/>
    <w:rsid w:val="009026D3"/>
    <w:rsid w:val="00903214"/>
    <w:rsid w:val="0090346C"/>
    <w:rsid w:val="00903896"/>
    <w:rsid w:val="00903A34"/>
    <w:rsid w:val="00903DE0"/>
    <w:rsid w:val="00904532"/>
    <w:rsid w:val="00906325"/>
    <w:rsid w:val="00906832"/>
    <w:rsid w:val="00907567"/>
    <w:rsid w:val="00910534"/>
    <w:rsid w:val="0091058E"/>
    <w:rsid w:val="009107CF"/>
    <w:rsid w:val="009117FE"/>
    <w:rsid w:val="00911DAE"/>
    <w:rsid w:val="00911E2A"/>
    <w:rsid w:val="00911ECD"/>
    <w:rsid w:val="009121BE"/>
    <w:rsid w:val="009121C8"/>
    <w:rsid w:val="00912BD1"/>
    <w:rsid w:val="00913864"/>
    <w:rsid w:val="00913B11"/>
    <w:rsid w:val="00913B7C"/>
    <w:rsid w:val="00914948"/>
    <w:rsid w:val="00914C91"/>
    <w:rsid w:val="00915AC9"/>
    <w:rsid w:val="0091649A"/>
    <w:rsid w:val="00916647"/>
    <w:rsid w:val="00916DDC"/>
    <w:rsid w:val="0091766F"/>
    <w:rsid w:val="009179AF"/>
    <w:rsid w:val="00917CEE"/>
    <w:rsid w:val="009205F3"/>
    <w:rsid w:val="00920653"/>
    <w:rsid w:val="00920E44"/>
    <w:rsid w:val="009217BA"/>
    <w:rsid w:val="00924A72"/>
    <w:rsid w:val="009256C8"/>
    <w:rsid w:val="00925A2F"/>
    <w:rsid w:val="00926509"/>
    <w:rsid w:val="00930508"/>
    <w:rsid w:val="00930A49"/>
    <w:rsid w:val="00930AB4"/>
    <w:rsid w:val="00930B9C"/>
    <w:rsid w:val="00930FFE"/>
    <w:rsid w:val="0093185A"/>
    <w:rsid w:val="0093185B"/>
    <w:rsid w:val="00931A8B"/>
    <w:rsid w:val="00932229"/>
    <w:rsid w:val="00932471"/>
    <w:rsid w:val="00933648"/>
    <w:rsid w:val="009340A9"/>
    <w:rsid w:val="00936CCF"/>
    <w:rsid w:val="009374BA"/>
    <w:rsid w:val="00940154"/>
    <w:rsid w:val="00940843"/>
    <w:rsid w:val="00941111"/>
    <w:rsid w:val="00941316"/>
    <w:rsid w:val="00943689"/>
    <w:rsid w:val="00943EB2"/>
    <w:rsid w:val="009443EB"/>
    <w:rsid w:val="0094449B"/>
    <w:rsid w:val="00945044"/>
    <w:rsid w:val="00945B0E"/>
    <w:rsid w:val="00946142"/>
    <w:rsid w:val="009461A8"/>
    <w:rsid w:val="00946286"/>
    <w:rsid w:val="00946C7E"/>
    <w:rsid w:val="009479F2"/>
    <w:rsid w:val="00950214"/>
    <w:rsid w:val="00950ED3"/>
    <w:rsid w:val="00950F91"/>
    <w:rsid w:val="00951EF0"/>
    <w:rsid w:val="0095212C"/>
    <w:rsid w:val="009526CA"/>
    <w:rsid w:val="00952B74"/>
    <w:rsid w:val="009538A8"/>
    <w:rsid w:val="00953A87"/>
    <w:rsid w:val="00953DB1"/>
    <w:rsid w:val="009550DD"/>
    <w:rsid w:val="00955B27"/>
    <w:rsid w:val="00956775"/>
    <w:rsid w:val="00957F00"/>
    <w:rsid w:val="00960D61"/>
    <w:rsid w:val="00962249"/>
    <w:rsid w:val="00962BAA"/>
    <w:rsid w:val="00962CAF"/>
    <w:rsid w:val="0096366F"/>
    <w:rsid w:val="00963771"/>
    <w:rsid w:val="00963CEA"/>
    <w:rsid w:val="00964129"/>
    <w:rsid w:val="0096423C"/>
    <w:rsid w:val="009644CA"/>
    <w:rsid w:val="009646CA"/>
    <w:rsid w:val="00964C16"/>
    <w:rsid w:val="0096614E"/>
    <w:rsid w:val="00966914"/>
    <w:rsid w:val="00966F74"/>
    <w:rsid w:val="00966FA4"/>
    <w:rsid w:val="009670D9"/>
    <w:rsid w:val="009679EA"/>
    <w:rsid w:val="00970967"/>
    <w:rsid w:val="00971600"/>
    <w:rsid w:val="00971CF7"/>
    <w:rsid w:val="0097219F"/>
    <w:rsid w:val="0097246D"/>
    <w:rsid w:val="00974E76"/>
    <w:rsid w:val="00975F6B"/>
    <w:rsid w:val="00976030"/>
    <w:rsid w:val="00976105"/>
    <w:rsid w:val="00976132"/>
    <w:rsid w:val="00976647"/>
    <w:rsid w:val="0097692C"/>
    <w:rsid w:val="00976E3C"/>
    <w:rsid w:val="009812CF"/>
    <w:rsid w:val="00981510"/>
    <w:rsid w:val="00983B65"/>
    <w:rsid w:val="00984DCC"/>
    <w:rsid w:val="00985195"/>
    <w:rsid w:val="00986E24"/>
    <w:rsid w:val="009872D7"/>
    <w:rsid w:val="00987E13"/>
    <w:rsid w:val="00987EB9"/>
    <w:rsid w:val="00990E5D"/>
    <w:rsid w:val="009915D4"/>
    <w:rsid w:val="009931C6"/>
    <w:rsid w:val="009946C1"/>
    <w:rsid w:val="009946DA"/>
    <w:rsid w:val="00994B40"/>
    <w:rsid w:val="00994C17"/>
    <w:rsid w:val="00994DB2"/>
    <w:rsid w:val="0099572B"/>
    <w:rsid w:val="00995E0A"/>
    <w:rsid w:val="009A0346"/>
    <w:rsid w:val="009A2C26"/>
    <w:rsid w:val="009A300A"/>
    <w:rsid w:val="009A387C"/>
    <w:rsid w:val="009A3AE2"/>
    <w:rsid w:val="009A406D"/>
    <w:rsid w:val="009A423D"/>
    <w:rsid w:val="009A4DDE"/>
    <w:rsid w:val="009A56C3"/>
    <w:rsid w:val="009A6FEA"/>
    <w:rsid w:val="009A7430"/>
    <w:rsid w:val="009A7682"/>
    <w:rsid w:val="009A796C"/>
    <w:rsid w:val="009A7D0B"/>
    <w:rsid w:val="009B0E77"/>
    <w:rsid w:val="009B2C50"/>
    <w:rsid w:val="009B2C52"/>
    <w:rsid w:val="009B3822"/>
    <w:rsid w:val="009B47DF"/>
    <w:rsid w:val="009B501C"/>
    <w:rsid w:val="009B5443"/>
    <w:rsid w:val="009B61BB"/>
    <w:rsid w:val="009B66DA"/>
    <w:rsid w:val="009B7C41"/>
    <w:rsid w:val="009B7F33"/>
    <w:rsid w:val="009C1BCB"/>
    <w:rsid w:val="009C2115"/>
    <w:rsid w:val="009C2758"/>
    <w:rsid w:val="009C3C43"/>
    <w:rsid w:val="009C4898"/>
    <w:rsid w:val="009C4AE4"/>
    <w:rsid w:val="009C5264"/>
    <w:rsid w:val="009C5265"/>
    <w:rsid w:val="009C6A56"/>
    <w:rsid w:val="009C7137"/>
    <w:rsid w:val="009C79DC"/>
    <w:rsid w:val="009C7A60"/>
    <w:rsid w:val="009C7ACC"/>
    <w:rsid w:val="009D0097"/>
    <w:rsid w:val="009D0E61"/>
    <w:rsid w:val="009D111B"/>
    <w:rsid w:val="009D138E"/>
    <w:rsid w:val="009D19EF"/>
    <w:rsid w:val="009D2474"/>
    <w:rsid w:val="009D2722"/>
    <w:rsid w:val="009D2FA8"/>
    <w:rsid w:val="009D4830"/>
    <w:rsid w:val="009E1FF8"/>
    <w:rsid w:val="009E436C"/>
    <w:rsid w:val="009E5A1C"/>
    <w:rsid w:val="009E6B02"/>
    <w:rsid w:val="009E7B3B"/>
    <w:rsid w:val="009F02B8"/>
    <w:rsid w:val="009F040B"/>
    <w:rsid w:val="009F0CBA"/>
    <w:rsid w:val="009F19A3"/>
    <w:rsid w:val="009F19E4"/>
    <w:rsid w:val="009F1C96"/>
    <w:rsid w:val="009F2078"/>
    <w:rsid w:val="009F2CA7"/>
    <w:rsid w:val="009F363A"/>
    <w:rsid w:val="009F4925"/>
    <w:rsid w:val="009F5037"/>
    <w:rsid w:val="009F5BDB"/>
    <w:rsid w:val="009F5C8A"/>
    <w:rsid w:val="009F5C8D"/>
    <w:rsid w:val="009F5DF0"/>
    <w:rsid w:val="009F6C56"/>
    <w:rsid w:val="009F7073"/>
    <w:rsid w:val="009F7D1D"/>
    <w:rsid w:val="00A00970"/>
    <w:rsid w:val="00A00DA9"/>
    <w:rsid w:val="00A01087"/>
    <w:rsid w:val="00A01443"/>
    <w:rsid w:val="00A038BE"/>
    <w:rsid w:val="00A04886"/>
    <w:rsid w:val="00A1000E"/>
    <w:rsid w:val="00A102D4"/>
    <w:rsid w:val="00A106CB"/>
    <w:rsid w:val="00A10A80"/>
    <w:rsid w:val="00A11ADA"/>
    <w:rsid w:val="00A125CB"/>
    <w:rsid w:val="00A12828"/>
    <w:rsid w:val="00A12C8A"/>
    <w:rsid w:val="00A13A95"/>
    <w:rsid w:val="00A162FE"/>
    <w:rsid w:val="00A16BBC"/>
    <w:rsid w:val="00A16CFD"/>
    <w:rsid w:val="00A17379"/>
    <w:rsid w:val="00A17ED3"/>
    <w:rsid w:val="00A20778"/>
    <w:rsid w:val="00A215D2"/>
    <w:rsid w:val="00A21852"/>
    <w:rsid w:val="00A224EB"/>
    <w:rsid w:val="00A237CF"/>
    <w:rsid w:val="00A2395F"/>
    <w:rsid w:val="00A23B79"/>
    <w:rsid w:val="00A242E1"/>
    <w:rsid w:val="00A24B34"/>
    <w:rsid w:val="00A24D7B"/>
    <w:rsid w:val="00A24DE9"/>
    <w:rsid w:val="00A253FA"/>
    <w:rsid w:val="00A25406"/>
    <w:rsid w:val="00A25722"/>
    <w:rsid w:val="00A257B4"/>
    <w:rsid w:val="00A25B35"/>
    <w:rsid w:val="00A25FC0"/>
    <w:rsid w:val="00A267C7"/>
    <w:rsid w:val="00A26E0B"/>
    <w:rsid w:val="00A27CEF"/>
    <w:rsid w:val="00A30289"/>
    <w:rsid w:val="00A30826"/>
    <w:rsid w:val="00A30E95"/>
    <w:rsid w:val="00A31912"/>
    <w:rsid w:val="00A31C82"/>
    <w:rsid w:val="00A330DA"/>
    <w:rsid w:val="00A33CD8"/>
    <w:rsid w:val="00A347AA"/>
    <w:rsid w:val="00A3480E"/>
    <w:rsid w:val="00A35057"/>
    <w:rsid w:val="00A359AC"/>
    <w:rsid w:val="00A366BE"/>
    <w:rsid w:val="00A37F60"/>
    <w:rsid w:val="00A419E7"/>
    <w:rsid w:val="00A41BFB"/>
    <w:rsid w:val="00A42E38"/>
    <w:rsid w:val="00A43443"/>
    <w:rsid w:val="00A43DCD"/>
    <w:rsid w:val="00A43FA0"/>
    <w:rsid w:val="00A44CC1"/>
    <w:rsid w:val="00A44E42"/>
    <w:rsid w:val="00A45CD1"/>
    <w:rsid w:val="00A46392"/>
    <w:rsid w:val="00A46602"/>
    <w:rsid w:val="00A467CB"/>
    <w:rsid w:val="00A4794E"/>
    <w:rsid w:val="00A500B7"/>
    <w:rsid w:val="00A507A5"/>
    <w:rsid w:val="00A507E2"/>
    <w:rsid w:val="00A511B5"/>
    <w:rsid w:val="00A51347"/>
    <w:rsid w:val="00A51841"/>
    <w:rsid w:val="00A522FC"/>
    <w:rsid w:val="00A52E08"/>
    <w:rsid w:val="00A537F6"/>
    <w:rsid w:val="00A543E2"/>
    <w:rsid w:val="00A57307"/>
    <w:rsid w:val="00A577F9"/>
    <w:rsid w:val="00A61026"/>
    <w:rsid w:val="00A61541"/>
    <w:rsid w:val="00A63093"/>
    <w:rsid w:val="00A63442"/>
    <w:rsid w:val="00A63718"/>
    <w:rsid w:val="00A65405"/>
    <w:rsid w:val="00A678C3"/>
    <w:rsid w:val="00A67D48"/>
    <w:rsid w:val="00A67FEC"/>
    <w:rsid w:val="00A7097C"/>
    <w:rsid w:val="00A7121C"/>
    <w:rsid w:val="00A71353"/>
    <w:rsid w:val="00A7188D"/>
    <w:rsid w:val="00A722D0"/>
    <w:rsid w:val="00A72334"/>
    <w:rsid w:val="00A7255F"/>
    <w:rsid w:val="00A72E04"/>
    <w:rsid w:val="00A7361A"/>
    <w:rsid w:val="00A73C3A"/>
    <w:rsid w:val="00A74822"/>
    <w:rsid w:val="00A76742"/>
    <w:rsid w:val="00A76799"/>
    <w:rsid w:val="00A76B52"/>
    <w:rsid w:val="00A77381"/>
    <w:rsid w:val="00A802ED"/>
    <w:rsid w:val="00A81966"/>
    <w:rsid w:val="00A81E20"/>
    <w:rsid w:val="00A8215E"/>
    <w:rsid w:val="00A825A4"/>
    <w:rsid w:val="00A8271A"/>
    <w:rsid w:val="00A82BF2"/>
    <w:rsid w:val="00A830F8"/>
    <w:rsid w:val="00A83306"/>
    <w:rsid w:val="00A83802"/>
    <w:rsid w:val="00A83B34"/>
    <w:rsid w:val="00A84FB2"/>
    <w:rsid w:val="00A857D1"/>
    <w:rsid w:val="00A859D1"/>
    <w:rsid w:val="00A861AB"/>
    <w:rsid w:val="00A86B39"/>
    <w:rsid w:val="00A86F72"/>
    <w:rsid w:val="00A87030"/>
    <w:rsid w:val="00A8733D"/>
    <w:rsid w:val="00A87A23"/>
    <w:rsid w:val="00A912E0"/>
    <w:rsid w:val="00A92479"/>
    <w:rsid w:val="00A92FC7"/>
    <w:rsid w:val="00A931EE"/>
    <w:rsid w:val="00A93BD4"/>
    <w:rsid w:val="00A9453F"/>
    <w:rsid w:val="00A94BDF"/>
    <w:rsid w:val="00A94EAB"/>
    <w:rsid w:val="00A977C6"/>
    <w:rsid w:val="00A97C50"/>
    <w:rsid w:val="00AA049E"/>
    <w:rsid w:val="00AA0A04"/>
    <w:rsid w:val="00AA0C0F"/>
    <w:rsid w:val="00AA0DC3"/>
    <w:rsid w:val="00AA12F8"/>
    <w:rsid w:val="00AA1D9A"/>
    <w:rsid w:val="00AA321B"/>
    <w:rsid w:val="00AA44F5"/>
    <w:rsid w:val="00AA46B4"/>
    <w:rsid w:val="00AA48AF"/>
    <w:rsid w:val="00AA5287"/>
    <w:rsid w:val="00AA558E"/>
    <w:rsid w:val="00AA5DA7"/>
    <w:rsid w:val="00AA72C2"/>
    <w:rsid w:val="00AA7357"/>
    <w:rsid w:val="00AA7692"/>
    <w:rsid w:val="00AB15EB"/>
    <w:rsid w:val="00AB1C9B"/>
    <w:rsid w:val="00AB1D0A"/>
    <w:rsid w:val="00AB24D8"/>
    <w:rsid w:val="00AB2E04"/>
    <w:rsid w:val="00AB2F5C"/>
    <w:rsid w:val="00AB3D9A"/>
    <w:rsid w:val="00AB405B"/>
    <w:rsid w:val="00AB5002"/>
    <w:rsid w:val="00AB50C1"/>
    <w:rsid w:val="00AB521E"/>
    <w:rsid w:val="00AB5948"/>
    <w:rsid w:val="00AB606E"/>
    <w:rsid w:val="00AB6941"/>
    <w:rsid w:val="00AB726E"/>
    <w:rsid w:val="00AB7400"/>
    <w:rsid w:val="00AB7B8A"/>
    <w:rsid w:val="00AC075C"/>
    <w:rsid w:val="00AC0A20"/>
    <w:rsid w:val="00AC0FB8"/>
    <w:rsid w:val="00AC1944"/>
    <w:rsid w:val="00AC1B9C"/>
    <w:rsid w:val="00AC2CF1"/>
    <w:rsid w:val="00AC4519"/>
    <w:rsid w:val="00AC46A6"/>
    <w:rsid w:val="00AC7058"/>
    <w:rsid w:val="00AC7CAE"/>
    <w:rsid w:val="00AC7F57"/>
    <w:rsid w:val="00AD0125"/>
    <w:rsid w:val="00AD175F"/>
    <w:rsid w:val="00AD2B81"/>
    <w:rsid w:val="00AD2BED"/>
    <w:rsid w:val="00AD337C"/>
    <w:rsid w:val="00AD48DE"/>
    <w:rsid w:val="00AD50C9"/>
    <w:rsid w:val="00AE02EB"/>
    <w:rsid w:val="00AE2153"/>
    <w:rsid w:val="00AE2864"/>
    <w:rsid w:val="00AE6405"/>
    <w:rsid w:val="00AE6587"/>
    <w:rsid w:val="00AE68E0"/>
    <w:rsid w:val="00AE6C0C"/>
    <w:rsid w:val="00AF066A"/>
    <w:rsid w:val="00AF11D9"/>
    <w:rsid w:val="00AF1382"/>
    <w:rsid w:val="00AF14AE"/>
    <w:rsid w:val="00AF2B95"/>
    <w:rsid w:val="00AF4BB1"/>
    <w:rsid w:val="00AF4D88"/>
    <w:rsid w:val="00AF4DF9"/>
    <w:rsid w:val="00AF5534"/>
    <w:rsid w:val="00AF6A7F"/>
    <w:rsid w:val="00B0095A"/>
    <w:rsid w:val="00B00CF2"/>
    <w:rsid w:val="00B02EE3"/>
    <w:rsid w:val="00B03E25"/>
    <w:rsid w:val="00B052B2"/>
    <w:rsid w:val="00B05FFB"/>
    <w:rsid w:val="00B061DA"/>
    <w:rsid w:val="00B06A98"/>
    <w:rsid w:val="00B071D3"/>
    <w:rsid w:val="00B104B5"/>
    <w:rsid w:val="00B10634"/>
    <w:rsid w:val="00B11A13"/>
    <w:rsid w:val="00B13075"/>
    <w:rsid w:val="00B13CD2"/>
    <w:rsid w:val="00B142E4"/>
    <w:rsid w:val="00B1500B"/>
    <w:rsid w:val="00B1565A"/>
    <w:rsid w:val="00B15F4A"/>
    <w:rsid w:val="00B1607D"/>
    <w:rsid w:val="00B16260"/>
    <w:rsid w:val="00B1698C"/>
    <w:rsid w:val="00B16CDA"/>
    <w:rsid w:val="00B16DAA"/>
    <w:rsid w:val="00B17451"/>
    <w:rsid w:val="00B17655"/>
    <w:rsid w:val="00B17B11"/>
    <w:rsid w:val="00B17DDD"/>
    <w:rsid w:val="00B17F7A"/>
    <w:rsid w:val="00B210E9"/>
    <w:rsid w:val="00B21429"/>
    <w:rsid w:val="00B214FA"/>
    <w:rsid w:val="00B22237"/>
    <w:rsid w:val="00B22600"/>
    <w:rsid w:val="00B22923"/>
    <w:rsid w:val="00B233DC"/>
    <w:rsid w:val="00B23F32"/>
    <w:rsid w:val="00B24ED2"/>
    <w:rsid w:val="00B25773"/>
    <w:rsid w:val="00B25F0A"/>
    <w:rsid w:val="00B26E71"/>
    <w:rsid w:val="00B27438"/>
    <w:rsid w:val="00B277E7"/>
    <w:rsid w:val="00B30A98"/>
    <w:rsid w:val="00B310CA"/>
    <w:rsid w:val="00B31185"/>
    <w:rsid w:val="00B31910"/>
    <w:rsid w:val="00B31D31"/>
    <w:rsid w:val="00B324F5"/>
    <w:rsid w:val="00B3359B"/>
    <w:rsid w:val="00B33642"/>
    <w:rsid w:val="00B338FC"/>
    <w:rsid w:val="00B343F1"/>
    <w:rsid w:val="00B3561D"/>
    <w:rsid w:val="00B35875"/>
    <w:rsid w:val="00B3713A"/>
    <w:rsid w:val="00B37C54"/>
    <w:rsid w:val="00B411A8"/>
    <w:rsid w:val="00B42CEE"/>
    <w:rsid w:val="00B43C7A"/>
    <w:rsid w:val="00B443C4"/>
    <w:rsid w:val="00B44693"/>
    <w:rsid w:val="00B45D06"/>
    <w:rsid w:val="00B45E87"/>
    <w:rsid w:val="00B466F2"/>
    <w:rsid w:val="00B46850"/>
    <w:rsid w:val="00B46E4D"/>
    <w:rsid w:val="00B47D5C"/>
    <w:rsid w:val="00B50FE2"/>
    <w:rsid w:val="00B51D35"/>
    <w:rsid w:val="00B5447E"/>
    <w:rsid w:val="00B54CDA"/>
    <w:rsid w:val="00B55489"/>
    <w:rsid w:val="00B562EB"/>
    <w:rsid w:val="00B572E3"/>
    <w:rsid w:val="00B573DE"/>
    <w:rsid w:val="00B57622"/>
    <w:rsid w:val="00B57F61"/>
    <w:rsid w:val="00B60ACC"/>
    <w:rsid w:val="00B60B57"/>
    <w:rsid w:val="00B61156"/>
    <w:rsid w:val="00B61B93"/>
    <w:rsid w:val="00B61C9A"/>
    <w:rsid w:val="00B62DFD"/>
    <w:rsid w:val="00B631E5"/>
    <w:rsid w:val="00B64C8E"/>
    <w:rsid w:val="00B653A2"/>
    <w:rsid w:val="00B660F1"/>
    <w:rsid w:val="00B67BAF"/>
    <w:rsid w:val="00B67E08"/>
    <w:rsid w:val="00B67F8C"/>
    <w:rsid w:val="00B7125F"/>
    <w:rsid w:val="00B72208"/>
    <w:rsid w:val="00B72B05"/>
    <w:rsid w:val="00B73058"/>
    <w:rsid w:val="00B7602D"/>
    <w:rsid w:val="00B766DA"/>
    <w:rsid w:val="00B76B4F"/>
    <w:rsid w:val="00B76DB4"/>
    <w:rsid w:val="00B81C86"/>
    <w:rsid w:val="00B8259F"/>
    <w:rsid w:val="00B84EDA"/>
    <w:rsid w:val="00B8545D"/>
    <w:rsid w:val="00B858D1"/>
    <w:rsid w:val="00B876F4"/>
    <w:rsid w:val="00B87D2E"/>
    <w:rsid w:val="00B901D0"/>
    <w:rsid w:val="00B904D2"/>
    <w:rsid w:val="00B91B7F"/>
    <w:rsid w:val="00B94A2E"/>
    <w:rsid w:val="00B94B71"/>
    <w:rsid w:val="00B94CD4"/>
    <w:rsid w:val="00B9698F"/>
    <w:rsid w:val="00B969B8"/>
    <w:rsid w:val="00B96AF0"/>
    <w:rsid w:val="00B96E39"/>
    <w:rsid w:val="00B97771"/>
    <w:rsid w:val="00B97C8E"/>
    <w:rsid w:val="00B97F94"/>
    <w:rsid w:val="00BA04DD"/>
    <w:rsid w:val="00BA09D7"/>
    <w:rsid w:val="00BA113D"/>
    <w:rsid w:val="00BA1A06"/>
    <w:rsid w:val="00BA1EF5"/>
    <w:rsid w:val="00BA23A3"/>
    <w:rsid w:val="00BA26B1"/>
    <w:rsid w:val="00BA39CA"/>
    <w:rsid w:val="00BA4395"/>
    <w:rsid w:val="00BA4E84"/>
    <w:rsid w:val="00BA73BE"/>
    <w:rsid w:val="00BB1DAF"/>
    <w:rsid w:val="00BB23A7"/>
    <w:rsid w:val="00BB259F"/>
    <w:rsid w:val="00BB2EE3"/>
    <w:rsid w:val="00BB338E"/>
    <w:rsid w:val="00BB4C20"/>
    <w:rsid w:val="00BB5B39"/>
    <w:rsid w:val="00BB78FA"/>
    <w:rsid w:val="00BB7E6B"/>
    <w:rsid w:val="00BC032C"/>
    <w:rsid w:val="00BC046B"/>
    <w:rsid w:val="00BC0620"/>
    <w:rsid w:val="00BC0B38"/>
    <w:rsid w:val="00BC14C7"/>
    <w:rsid w:val="00BC1E5A"/>
    <w:rsid w:val="00BC244D"/>
    <w:rsid w:val="00BC28A2"/>
    <w:rsid w:val="00BC29B3"/>
    <w:rsid w:val="00BC3BEB"/>
    <w:rsid w:val="00BC4B6A"/>
    <w:rsid w:val="00BC4ED5"/>
    <w:rsid w:val="00BC5EA0"/>
    <w:rsid w:val="00BC661F"/>
    <w:rsid w:val="00BC6BA0"/>
    <w:rsid w:val="00BC74D7"/>
    <w:rsid w:val="00BD0088"/>
    <w:rsid w:val="00BD1ACC"/>
    <w:rsid w:val="00BD1F26"/>
    <w:rsid w:val="00BD23BD"/>
    <w:rsid w:val="00BD2F38"/>
    <w:rsid w:val="00BD433B"/>
    <w:rsid w:val="00BD4F0C"/>
    <w:rsid w:val="00BD4F64"/>
    <w:rsid w:val="00BD4F71"/>
    <w:rsid w:val="00BD5ABC"/>
    <w:rsid w:val="00BE1AAC"/>
    <w:rsid w:val="00BE1D5E"/>
    <w:rsid w:val="00BE25CB"/>
    <w:rsid w:val="00BE2B70"/>
    <w:rsid w:val="00BE2C78"/>
    <w:rsid w:val="00BE318E"/>
    <w:rsid w:val="00BE3632"/>
    <w:rsid w:val="00BE373A"/>
    <w:rsid w:val="00BE414D"/>
    <w:rsid w:val="00BE48E4"/>
    <w:rsid w:val="00BE5F9E"/>
    <w:rsid w:val="00BE66F2"/>
    <w:rsid w:val="00BE6A26"/>
    <w:rsid w:val="00BE7471"/>
    <w:rsid w:val="00BF03BA"/>
    <w:rsid w:val="00BF180C"/>
    <w:rsid w:val="00BF1B3D"/>
    <w:rsid w:val="00BF1F88"/>
    <w:rsid w:val="00BF2B87"/>
    <w:rsid w:val="00BF2C7E"/>
    <w:rsid w:val="00BF37F5"/>
    <w:rsid w:val="00BF40C6"/>
    <w:rsid w:val="00BF49E4"/>
    <w:rsid w:val="00BF52B2"/>
    <w:rsid w:val="00BF5FB0"/>
    <w:rsid w:val="00BF63C1"/>
    <w:rsid w:val="00BF66CE"/>
    <w:rsid w:val="00BF7C6B"/>
    <w:rsid w:val="00BF7DBD"/>
    <w:rsid w:val="00C0003C"/>
    <w:rsid w:val="00C00958"/>
    <w:rsid w:val="00C009F8"/>
    <w:rsid w:val="00C00C85"/>
    <w:rsid w:val="00C01681"/>
    <w:rsid w:val="00C01CC5"/>
    <w:rsid w:val="00C02703"/>
    <w:rsid w:val="00C02E95"/>
    <w:rsid w:val="00C040DD"/>
    <w:rsid w:val="00C04D3C"/>
    <w:rsid w:val="00C050EA"/>
    <w:rsid w:val="00C05616"/>
    <w:rsid w:val="00C0631A"/>
    <w:rsid w:val="00C070E5"/>
    <w:rsid w:val="00C1002D"/>
    <w:rsid w:val="00C104DC"/>
    <w:rsid w:val="00C105D7"/>
    <w:rsid w:val="00C105F8"/>
    <w:rsid w:val="00C11449"/>
    <w:rsid w:val="00C114DD"/>
    <w:rsid w:val="00C11581"/>
    <w:rsid w:val="00C11729"/>
    <w:rsid w:val="00C118A8"/>
    <w:rsid w:val="00C1225C"/>
    <w:rsid w:val="00C126B8"/>
    <w:rsid w:val="00C1341B"/>
    <w:rsid w:val="00C1370B"/>
    <w:rsid w:val="00C13B02"/>
    <w:rsid w:val="00C13BD2"/>
    <w:rsid w:val="00C1478D"/>
    <w:rsid w:val="00C14BC6"/>
    <w:rsid w:val="00C15B72"/>
    <w:rsid w:val="00C16CCE"/>
    <w:rsid w:val="00C172C3"/>
    <w:rsid w:val="00C200D1"/>
    <w:rsid w:val="00C20547"/>
    <w:rsid w:val="00C21235"/>
    <w:rsid w:val="00C2128A"/>
    <w:rsid w:val="00C21AB9"/>
    <w:rsid w:val="00C21C41"/>
    <w:rsid w:val="00C222FE"/>
    <w:rsid w:val="00C22FB8"/>
    <w:rsid w:val="00C2397B"/>
    <w:rsid w:val="00C23FBF"/>
    <w:rsid w:val="00C24F79"/>
    <w:rsid w:val="00C24FC7"/>
    <w:rsid w:val="00C25A3C"/>
    <w:rsid w:val="00C264CF"/>
    <w:rsid w:val="00C26FD6"/>
    <w:rsid w:val="00C30AB6"/>
    <w:rsid w:val="00C30C2D"/>
    <w:rsid w:val="00C30CBD"/>
    <w:rsid w:val="00C30EC2"/>
    <w:rsid w:val="00C319F0"/>
    <w:rsid w:val="00C31C4C"/>
    <w:rsid w:val="00C31F6E"/>
    <w:rsid w:val="00C33380"/>
    <w:rsid w:val="00C33391"/>
    <w:rsid w:val="00C334E8"/>
    <w:rsid w:val="00C335FE"/>
    <w:rsid w:val="00C33811"/>
    <w:rsid w:val="00C34764"/>
    <w:rsid w:val="00C36403"/>
    <w:rsid w:val="00C36874"/>
    <w:rsid w:val="00C36DEE"/>
    <w:rsid w:val="00C37B9D"/>
    <w:rsid w:val="00C37D79"/>
    <w:rsid w:val="00C401F8"/>
    <w:rsid w:val="00C40421"/>
    <w:rsid w:val="00C404F0"/>
    <w:rsid w:val="00C408D2"/>
    <w:rsid w:val="00C40C4C"/>
    <w:rsid w:val="00C41C09"/>
    <w:rsid w:val="00C41D6A"/>
    <w:rsid w:val="00C42889"/>
    <w:rsid w:val="00C43268"/>
    <w:rsid w:val="00C43F3D"/>
    <w:rsid w:val="00C457FE"/>
    <w:rsid w:val="00C467AA"/>
    <w:rsid w:val="00C46CFF"/>
    <w:rsid w:val="00C46D2D"/>
    <w:rsid w:val="00C47A9E"/>
    <w:rsid w:val="00C47FAA"/>
    <w:rsid w:val="00C50239"/>
    <w:rsid w:val="00C506B4"/>
    <w:rsid w:val="00C50B0E"/>
    <w:rsid w:val="00C50C42"/>
    <w:rsid w:val="00C52654"/>
    <w:rsid w:val="00C52E7B"/>
    <w:rsid w:val="00C54737"/>
    <w:rsid w:val="00C54A31"/>
    <w:rsid w:val="00C5503B"/>
    <w:rsid w:val="00C552C8"/>
    <w:rsid w:val="00C55CDE"/>
    <w:rsid w:val="00C6068F"/>
    <w:rsid w:val="00C60DFF"/>
    <w:rsid w:val="00C6108C"/>
    <w:rsid w:val="00C626EA"/>
    <w:rsid w:val="00C63A6A"/>
    <w:rsid w:val="00C6443F"/>
    <w:rsid w:val="00C644A6"/>
    <w:rsid w:val="00C644ED"/>
    <w:rsid w:val="00C64612"/>
    <w:rsid w:val="00C64A6C"/>
    <w:rsid w:val="00C65278"/>
    <w:rsid w:val="00C65A3A"/>
    <w:rsid w:val="00C6668E"/>
    <w:rsid w:val="00C70241"/>
    <w:rsid w:val="00C703A1"/>
    <w:rsid w:val="00C70AE0"/>
    <w:rsid w:val="00C70DF6"/>
    <w:rsid w:val="00C718AB"/>
    <w:rsid w:val="00C71E41"/>
    <w:rsid w:val="00C71E7E"/>
    <w:rsid w:val="00C72193"/>
    <w:rsid w:val="00C73C9E"/>
    <w:rsid w:val="00C741BC"/>
    <w:rsid w:val="00C74772"/>
    <w:rsid w:val="00C74CFF"/>
    <w:rsid w:val="00C74FB7"/>
    <w:rsid w:val="00C7574B"/>
    <w:rsid w:val="00C7619D"/>
    <w:rsid w:val="00C809D0"/>
    <w:rsid w:val="00C8125E"/>
    <w:rsid w:val="00C82817"/>
    <w:rsid w:val="00C838BB"/>
    <w:rsid w:val="00C838BD"/>
    <w:rsid w:val="00C83CB7"/>
    <w:rsid w:val="00C83DCF"/>
    <w:rsid w:val="00C848BE"/>
    <w:rsid w:val="00C8499A"/>
    <w:rsid w:val="00C85039"/>
    <w:rsid w:val="00C85AEB"/>
    <w:rsid w:val="00C85CA5"/>
    <w:rsid w:val="00C86B90"/>
    <w:rsid w:val="00C87971"/>
    <w:rsid w:val="00C904C6"/>
    <w:rsid w:val="00C920EC"/>
    <w:rsid w:val="00C9376F"/>
    <w:rsid w:val="00C93BA1"/>
    <w:rsid w:val="00C9441B"/>
    <w:rsid w:val="00C947D7"/>
    <w:rsid w:val="00C95242"/>
    <w:rsid w:val="00C95287"/>
    <w:rsid w:val="00C959FC"/>
    <w:rsid w:val="00C95E66"/>
    <w:rsid w:val="00C961F0"/>
    <w:rsid w:val="00C962E6"/>
    <w:rsid w:val="00C96D9E"/>
    <w:rsid w:val="00C97EB3"/>
    <w:rsid w:val="00CA0A04"/>
    <w:rsid w:val="00CA1548"/>
    <w:rsid w:val="00CA1978"/>
    <w:rsid w:val="00CA1E5F"/>
    <w:rsid w:val="00CA23C9"/>
    <w:rsid w:val="00CA3B07"/>
    <w:rsid w:val="00CA44FF"/>
    <w:rsid w:val="00CA461E"/>
    <w:rsid w:val="00CA790A"/>
    <w:rsid w:val="00CB003F"/>
    <w:rsid w:val="00CB0E9F"/>
    <w:rsid w:val="00CB14A2"/>
    <w:rsid w:val="00CB2AE7"/>
    <w:rsid w:val="00CB5332"/>
    <w:rsid w:val="00CB537C"/>
    <w:rsid w:val="00CB5F98"/>
    <w:rsid w:val="00CB74EB"/>
    <w:rsid w:val="00CC00E1"/>
    <w:rsid w:val="00CC06C5"/>
    <w:rsid w:val="00CC0D6D"/>
    <w:rsid w:val="00CC0E4B"/>
    <w:rsid w:val="00CC0FC2"/>
    <w:rsid w:val="00CC1E03"/>
    <w:rsid w:val="00CC2022"/>
    <w:rsid w:val="00CC2153"/>
    <w:rsid w:val="00CC2840"/>
    <w:rsid w:val="00CC3EFF"/>
    <w:rsid w:val="00CC4223"/>
    <w:rsid w:val="00CC43CA"/>
    <w:rsid w:val="00CC46B9"/>
    <w:rsid w:val="00CC6F60"/>
    <w:rsid w:val="00CC735E"/>
    <w:rsid w:val="00CC745E"/>
    <w:rsid w:val="00CC7972"/>
    <w:rsid w:val="00CD0AF6"/>
    <w:rsid w:val="00CD0E28"/>
    <w:rsid w:val="00CD24E6"/>
    <w:rsid w:val="00CD3023"/>
    <w:rsid w:val="00CD4834"/>
    <w:rsid w:val="00CD4C69"/>
    <w:rsid w:val="00CD528B"/>
    <w:rsid w:val="00CD5718"/>
    <w:rsid w:val="00CD6B6B"/>
    <w:rsid w:val="00CE00E4"/>
    <w:rsid w:val="00CE01D2"/>
    <w:rsid w:val="00CE0AA1"/>
    <w:rsid w:val="00CE2235"/>
    <w:rsid w:val="00CE2BA5"/>
    <w:rsid w:val="00CE3181"/>
    <w:rsid w:val="00CE4CC3"/>
    <w:rsid w:val="00CE4F94"/>
    <w:rsid w:val="00CE53EA"/>
    <w:rsid w:val="00CE5E09"/>
    <w:rsid w:val="00CE6328"/>
    <w:rsid w:val="00CE76B5"/>
    <w:rsid w:val="00CF0AA4"/>
    <w:rsid w:val="00CF159F"/>
    <w:rsid w:val="00CF2A51"/>
    <w:rsid w:val="00CF3D81"/>
    <w:rsid w:val="00CF3D98"/>
    <w:rsid w:val="00CF3EAA"/>
    <w:rsid w:val="00CF49CF"/>
    <w:rsid w:val="00CF4CB8"/>
    <w:rsid w:val="00CF55B2"/>
    <w:rsid w:val="00CF6576"/>
    <w:rsid w:val="00CF68F9"/>
    <w:rsid w:val="00CF74F5"/>
    <w:rsid w:val="00CF7C56"/>
    <w:rsid w:val="00D00651"/>
    <w:rsid w:val="00D00AE4"/>
    <w:rsid w:val="00D01930"/>
    <w:rsid w:val="00D01B38"/>
    <w:rsid w:val="00D02BFC"/>
    <w:rsid w:val="00D04182"/>
    <w:rsid w:val="00D043E1"/>
    <w:rsid w:val="00D056D9"/>
    <w:rsid w:val="00D0593D"/>
    <w:rsid w:val="00D05A4F"/>
    <w:rsid w:val="00D065B7"/>
    <w:rsid w:val="00D075EE"/>
    <w:rsid w:val="00D076E9"/>
    <w:rsid w:val="00D112AC"/>
    <w:rsid w:val="00D1144D"/>
    <w:rsid w:val="00D11E42"/>
    <w:rsid w:val="00D14108"/>
    <w:rsid w:val="00D143B7"/>
    <w:rsid w:val="00D14DAC"/>
    <w:rsid w:val="00D16C97"/>
    <w:rsid w:val="00D17126"/>
    <w:rsid w:val="00D1713F"/>
    <w:rsid w:val="00D17F33"/>
    <w:rsid w:val="00D2016E"/>
    <w:rsid w:val="00D204FF"/>
    <w:rsid w:val="00D20BFD"/>
    <w:rsid w:val="00D20CCF"/>
    <w:rsid w:val="00D21589"/>
    <w:rsid w:val="00D218FB"/>
    <w:rsid w:val="00D21BA9"/>
    <w:rsid w:val="00D21FC0"/>
    <w:rsid w:val="00D223DE"/>
    <w:rsid w:val="00D22E3E"/>
    <w:rsid w:val="00D23232"/>
    <w:rsid w:val="00D23B06"/>
    <w:rsid w:val="00D24C36"/>
    <w:rsid w:val="00D253EF"/>
    <w:rsid w:val="00D27E1A"/>
    <w:rsid w:val="00D31489"/>
    <w:rsid w:val="00D314A5"/>
    <w:rsid w:val="00D31D0B"/>
    <w:rsid w:val="00D32F26"/>
    <w:rsid w:val="00D33931"/>
    <w:rsid w:val="00D34A90"/>
    <w:rsid w:val="00D357F2"/>
    <w:rsid w:val="00D3594B"/>
    <w:rsid w:val="00D35B7A"/>
    <w:rsid w:val="00D35EDB"/>
    <w:rsid w:val="00D362E2"/>
    <w:rsid w:val="00D364DB"/>
    <w:rsid w:val="00D36A8D"/>
    <w:rsid w:val="00D36E19"/>
    <w:rsid w:val="00D36EDB"/>
    <w:rsid w:val="00D3779C"/>
    <w:rsid w:val="00D40872"/>
    <w:rsid w:val="00D409E6"/>
    <w:rsid w:val="00D40A67"/>
    <w:rsid w:val="00D416FD"/>
    <w:rsid w:val="00D424C8"/>
    <w:rsid w:val="00D437C0"/>
    <w:rsid w:val="00D43FE9"/>
    <w:rsid w:val="00D4460A"/>
    <w:rsid w:val="00D45B8E"/>
    <w:rsid w:val="00D45F30"/>
    <w:rsid w:val="00D46902"/>
    <w:rsid w:val="00D469F4"/>
    <w:rsid w:val="00D47A8F"/>
    <w:rsid w:val="00D47BEC"/>
    <w:rsid w:val="00D50686"/>
    <w:rsid w:val="00D507A5"/>
    <w:rsid w:val="00D514EB"/>
    <w:rsid w:val="00D51735"/>
    <w:rsid w:val="00D51CE9"/>
    <w:rsid w:val="00D5253A"/>
    <w:rsid w:val="00D52AF8"/>
    <w:rsid w:val="00D539BA"/>
    <w:rsid w:val="00D53A0F"/>
    <w:rsid w:val="00D543B2"/>
    <w:rsid w:val="00D56608"/>
    <w:rsid w:val="00D56DF1"/>
    <w:rsid w:val="00D5746D"/>
    <w:rsid w:val="00D576A9"/>
    <w:rsid w:val="00D62194"/>
    <w:rsid w:val="00D62E27"/>
    <w:rsid w:val="00D6351E"/>
    <w:rsid w:val="00D64B36"/>
    <w:rsid w:val="00D656B8"/>
    <w:rsid w:val="00D65FE3"/>
    <w:rsid w:val="00D667FB"/>
    <w:rsid w:val="00D668AC"/>
    <w:rsid w:val="00D678A3"/>
    <w:rsid w:val="00D67C85"/>
    <w:rsid w:val="00D67DE3"/>
    <w:rsid w:val="00D70D8B"/>
    <w:rsid w:val="00D715E1"/>
    <w:rsid w:val="00D72F39"/>
    <w:rsid w:val="00D730EA"/>
    <w:rsid w:val="00D73B7C"/>
    <w:rsid w:val="00D744DF"/>
    <w:rsid w:val="00D75427"/>
    <w:rsid w:val="00D77DCD"/>
    <w:rsid w:val="00D80B4B"/>
    <w:rsid w:val="00D81ED5"/>
    <w:rsid w:val="00D825D8"/>
    <w:rsid w:val="00D82F27"/>
    <w:rsid w:val="00D83437"/>
    <w:rsid w:val="00D83456"/>
    <w:rsid w:val="00D834D8"/>
    <w:rsid w:val="00D85BB5"/>
    <w:rsid w:val="00D85C87"/>
    <w:rsid w:val="00D86263"/>
    <w:rsid w:val="00D90337"/>
    <w:rsid w:val="00D90B3B"/>
    <w:rsid w:val="00D9122A"/>
    <w:rsid w:val="00D91F2D"/>
    <w:rsid w:val="00D921B6"/>
    <w:rsid w:val="00D92BAD"/>
    <w:rsid w:val="00D92D6E"/>
    <w:rsid w:val="00D9494C"/>
    <w:rsid w:val="00D95B54"/>
    <w:rsid w:val="00D9657D"/>
    <w:rsid w:val="00D96F27"/>
    <w:rsid w:val="00D97629"/>
    <w:rsid w:val="00DA09CF"/>
    <w:rsid w:val="00DA0DBE"/>
    <w:rsid w:val="00DA1764"/>
    <w:rsid w:val="00DA1789"/>
    <w:rsid w:val="00DA2110"/>
    <w:rsid w:val="00DA253A"/>
    <w:rsid w:val="00DA27FD"/>
    <w:rsid w:val="00DA3063"/>
    <w:rsid w:val="00DA4BF0"/>
    <w:rsid w:val="00DA5D29"/>
    <w:rsid w:val="00DA63A5"/>
    <w:rsid w:val="00DA64F8"/>
    <w:rsid w:val="00DA756B"/>
    <w:rsid w:val="00DA7BFC"/>
    <w:rsid w:val="00DB0056"/>
    <w:rsid w:val="00DB044C"/>
    <w:rsid w:val="00DB1E76"/>
    <w:rsid w:val="00DB23CE"/>
    <w:rsid w:val="00DB2614"/>
    <w:rsid w:val="00DB2ADA"/>
    <w:rsid w:val="00DB2B7F"/>
    <w:rsid w:val="00DB3378"/>
    <w:rsid w:val="00DB3C40"/>
    <w:rsid w:val="00DB4BB0"/>
    <w:rsid w:val="00DB4EE3"/>
    <w:rsid w:val="00DB61F8"/>
    <w:rsid w:val="00DB6681"/>
    <w:rsid w:val="00DC0798"/>
    <w:rsid w:val="00DC1569"/>
    <w:rsid w:val="00DC1A25"/>
    <w:rsid w:val="00DC1B29"/>
    <w:rsid w:val="00DC372C"/>
    <w:rsid w:val="00DC3E55"/>
    <w:rsid w:val="00DC5108"/>
    <w:rsid w:val="00DC603D"/>
    <w:rsid w:val="00DC61A6"/>
    <w:rsid w:val="00DC6F02"/>
    <w:rsid w:val="00DD05AA"/>
    <w:rsid w:val="00DD16E1"/>
    <w:rsid w:val="00DD1AEE"/>
    <w:rsid w:val="00DD1D56"/>
    <w:rsid w:val="00DD470B"/>
    <w:rsid w:val="00DD4EBF"/>
    <w:rsid w:val="00DD5170"/>
    <w:rsid w:val="00DD606E"/>
    <w:rsid w:val="00DD61E1"/>
    <w:rsid w:val="00DD63BF"/>
    <w:rsid w:val="00DD64FB"/>
    <w:rsid w:val="00DD6C8A"/>
    <w:rsid w:val="00DD7EAA"/>
    <w:rsid w:val="00DE105B"/>
    <w:rsid w:val="00DE27DB"/>
    <w:rsid w:val="00DE2AFF"/>
    <w:rsid w:val="00DE35D3"/>
    <w:rsid w:val="00DE3BCD"/>
    <w:rsid w:val="00DE50C4"/>
    <w:rsid w:val="00DE561D"/>
    <w:rsid w:val="00DE6DE7"/>
    <w:rsid w:val="00DE705A"/>
    <w:rsid w:val="00DE7A33"/>
    <w:rsid w:val="00DE7F27"/>
    <w:rsid w:val="00DF19B9"/>
    <w:rsid w:val="00DF1E19"/>
    <w:rsid w:val="00DF2F89"/>
    <w:rsid w:val="00DF3FCC"/>
    <w:rsid w:val="00DF47BE"/>
    <w:rsid w:val="00DF5FA5"/>
    <w:rsid w:val="00DF64B9"/>
    <w:rsid w:val="00DF73B7"/>
    <w:rsid w:val="00DF7843"/>
    <w:rsid w:val="00DF7B21"/>
    <w:rsid w:val="00E00954"/>
    <w:rsid w:val="00E013B6"/>
    <w:rsid w:val="00E014D3"/>
    <w:rsid w:val="00E0260F"/>
    <w:rsid w:val="00E0311E"/>
    <w:rsid w:val="00E032EE"/>
    <w:rsid w:val="00E04232"/>
    <w:rsid w:val="00E04E34"/>
    <w:rsid w:val="00E052C1"/>
    <w:rsid w:val="00E05CA6"/>
    <w:rsid w:val="00E05E92"/>
    <w:rsid w:val="00E0642F"/>
    <w:rsid w:val="00E07378"/>
    <w:rsid w:val="00E106A9"/>
    <w:rsid w:val="00E10783"/>
    <w:rsid w:val="00E111C3"/>
    <w:rsid w:val="00E11CA4"/>
    <w:rsid w:val="00E1331F"/>
    <w:rsid w:val="00E13B34"/>
    <w:rsid w:val="00E13C89"/>
    <w:rsid w:val="00E13CE8"/>
    <w:rsid w:val="00E13E6D"/>
    <w:rsid w:val="00E13F8B"/>
    <w:rsid w:val="00E1406F"/>
    <w:rsid w:val="00E141F4"/>
    <w:rsid w:val="00E148BD"/>
    <w:rsid w:val="00E14DE9"/>
    <w:rsid w:val="00E14EDC"/>
    <w:rsid w:val="00E16677"/>
    <w:rsid w:val="00E16B87"/>
    <w:rsid w:val="00E173E6"/>
    <w:rsid w:val="00E17792"/>
    <w:rsid w:val="00E204E6"/>
    <w:rsid w:val="00E20D62"/>
    <w:rsid w:val="00E218BF"/>
    <w:rsid w:val="00E227D8"/>
    <w:rsid w:val="00E22C95"/>
    <w:rsid w:val="00E23538"/>
    <w:rsid w:val="00E2496E"/>
    <w:rsid w:val="00E2499A"/>
    <w:rsid w:val="00E25934"/>
    <w:rsid w:val="00E260F5"/>
    <w:rsid w:val="00E26904"/>
    <w:rsid w:val="00E26D63"/>
    <w:rsid w:val="00E271E9"/>
    <w:rsid w:val="00E276E8"/>
    <w:rsid w:val="00E306B1"/>
    <w:rsid w:val="00E30FFD"/>
    <w:rsid w:val="00E32A6C"/>
    <w:rsid w:val="00E3389E"/>
    <w:rsid w:val="00E338B6"/>
    <w:rsid w:val="00E366C3"/>
    <w:rsid w:val="00E36DDB"/>
    <w:rsid w:val="00E377E6"/>
    <w:rsid w:val="00E3781F"/>
    <w:rsid w:val="00E37D44"/>
    <w:rsid w:val="00E41B03"/>
    <w:rsid w:val="00E42D03"/>
    <w:rsid w:val="00E45436"/>
    <w:rsid w:val="00E46132"/>
    <w:rsid w:val="00E46E4C"/>
    <w:rsid w:val="00E5076D"/>
    <w:rsid w:val="00E508EE"/>
    <w:rsid w:val="00E520CD"/>
    <w:rsid w:val="00E52665"/>
    <w:rsid w:val="00E530E1"/>
    <w:rsid w:val="00E54A1C"/>
    <w:rsid w:val="00E54B37"/>
    <w:rsid w:val="00E5641B"/>
    <w:rsid w:val="00E5660F"/>
    <w:rsid w:val="00E604F5"/>
    <w:rsid w:val="00E60AD3"/>
    <w:rsid w:val="00E62774"/>
    <w:rsid w:val="00E6283C"/>
    <w:rsid w:val="00E634B1"/>
    <w:rsid w:val="00E638DE"/>
    <w:rsid w:val="00E63D06"/>
    <w:rsid w:val="00E64A6A"/>
    <w:rsid w:val="00E65213"/>
    <w:rsid w:val="00E65970"/>
    <w:rsid w:val="00E66556"/>
    <w:rsid w:val="00E66D51"/>
    <w:rsid w:val="00E67B2F"/>
    <w:rsid w:val="00E7027D"/>
    <w:rsid w:val="00E70F4C"/>
    <w:rsid w:val="00E7142B"/>
    <w:rsid w:val="00E72D39"/>
    <w:rsid w:val="00E734B4"/>
    <w:rsid w:val="00E73613"/>
    <w:rsid w:val="00E74904"/>
    <w:rsid w:val="00E755CB"/>
    <w:rsid w:val="00E7597C"/>
    <w:rsid w:val="00E75D24"/>
    <w:rsid w:val="00E76663"/>
    <w:rsid w:val="00E76DAF"/>
    <w:rsid w:val="00E7701D"/>
    <w:rsid w:val="00E777FC"/>
    <w:rsid w:val="00E77C66"/>
    <w:rsid w:val="00E77E08"/>
    <w:rsid w:val="00E80F44"/>
    <w:rsid w:val="00E8190E"/>
    <w:rsid w:val="00E829EA"/>
    <w:rsid w:val="00E82F03"/>
    <w:rsid w:val="00E836DF"/>
    <w:rsid w:val="00E845C4"/>
    <w:rsid w:val="00E84D3A"/>
    <w:rsid w:val="00E8518B"/>
    <w:rsid w:val="00E85AF3"/>
    <w:rsid w:val="00E85BDB"/>
    <w:rsid w:val="00E85EE3"/>
    <w:rsid w:val="00E86069"/>
    <w:rsid w:val="00E864F4"/>
    <w:rsid w:val="00E9005F"/>
    <w:rsid w:val="00E90077"/>
    <w:rsid w:val="00E90D1E"/>
    <w:rsid w:val="00E91AEF"/>
    <w:rsid w:val="00E91DED"/>
    <w:rsid w:val="00E9240D"/>
    <w:rsid w:val="00E931D6"/>
    <w:rsid w:val="00E9387F"/>
    <w:rsid w:val="00E94CEB"/>
    <w:rsid w:val="00E96A1E"/>
    <w:rsid w:val="00E975F1"/>
    <w:rsid w:val="00EA1434"/>
    <w:rsid w:val="00EA2E58"/>
    <w:rsid w:val="00EA3075"/>
    <w:rsid w:val="00EA322F"/>
    <w:rsid w:val="00EA3542"/>
    <w:rsid w:val="00EA378B"/>
    <w:rsid w:val="00EA3E4A"/>
    <w:rsid w:val="00EA4652"/>
    <w:rsid w:val="00EA47E5"/>
    <w:rsid w:val="00EA5583"/>
    <w:rsid w:val="00EA55A8"/>
    <w:rsid w:val="00EA7152"/>
    <w:rsid w:val="00EB0009"/>
    <w:rsid w:val="00EB0263"/>
    <w:rsid w:val="00EB02F1"/>
    <w:rsid w:val="00EB0709"/>
    <w:rsid w:val="00EB1467"/>
    <w:rsid w:val="00EB1D9C"/>
    <w:rsid w:val="00EB283E"/>
    <w:rsid w:val="00EB3389"/>
    <w:rsid w:val="00EB5640"/>
    <w:rsid w:val="00EB6D0A"/>
    <w:rsid w:val="00EB73D7"/>
    <w:rsid w:val="00EB7D5D"/>
    <w:rsid w:val="00EB7E5F"/>
    <w:rsid w:val="00EC03CB"/>
    <w:rsid w:val="00EC153F"/>
    <w:rsid w:val="00EC246A"/>
    <w:rsid w:val="00EC24BB"/>
    <w:rsid w:val="00EC37C3"/>
    <w:rsid w:val="00EC3B49"/>
    <w:rsid w:val="00EC3E7E"/>
    <w:rsid w:val="00EC4479"/>
    <w:rsid w:val="00EC44AF"/>
    <w:rsid w:val="00EC569E"/>
    <w:rsid w:val="00EC5FD0"/>
    <w:rsid w:val="00EC6745"/>
    <w:rsid w:val="00EC6F81"/>
    <w:rsid w:val="00EC7006"/>
    <w:rsid w:val="00EC76E0"/>
    <w:rsid w:val="00EC7825"/>
    <w:rsid w:val="00EC7BF2"/>
    <w:rsid w:val="00ED097B"/>
    <w:rsid w:val="00ED15DD"/>
    <w:rsid w:val="00ED1DC3"/>
    <w:rsid w:val="00ED2BD6"/>
    <w:rsid w:val="00ED2C4E"/>
    <w:rsid w:val="00ED3586"/>
    <w:rsid w:val="00ED367C"/>
    <w:rsid w:val="00ED3A2C"/>
    <w:rsid w:val="00ED3CF5"/>
    <w:rsid w:val="00ED4421"/>
    <w:rsid w:val="00ED4BFB"/>
    <w:rsid w:val="00ED4EA9"/>
    <w:rsid w:val="00ED502B"/>
    <w:rsid w:val="00ED51E6"/>
    <w:rsid w:val="00ED54FD"/>
    <w:rsid w:val="00ED5ABA"/>
    <w:rsid w:val="00ED6390"/>
    <w:rsid w:val="00ED6766"/>
    <w:rsid w:val="00ED7112"/>
    <w:rsid w:val="00ED71E0"/>
    <w:rsid w:val="00ED7901"/>
    <w:rsid w:val="00ED7F8A"/>
    <w:rsid w:val="00EE0162"/>
    <w:rsid w:val="00EE123F"/>
    <w:rsid w:val="00EE18CB"/>
    <w:rsid w:val="00EE1FA8"/>
    <w:rsid w:val="00EE2C9C"/>
    <w:rsid w:val="00EE36F6"/>
    <w:rsid w:val="00EE384E"/>
    <w:rsid w:val="00EE4909"/>
    <w:rsid w:val="00EE4A5B"/>
    <w:rsid w:val="00EE59BC"/>
    <w:rsid w:val="00EE6F42"/>
    <w:rsid w:val="00EE71F5"/>
    <w:rsid w:val="00EE7B6A"/>
    <w:rsid w:val="00EE7C80"/>
    <w:rsid w:val="00EE7C89"/>
    <w:rsid w:val="00EF04A6"/>
    <w:rsid w:val="00EF0701"/>
    <w:rsid w:val="00EF10E0"/>
    <w:rsid w:val="00EF1272"/>
    <w:rsid w:val="00EF1556"/>
    <w:rsid w:val="00EF18C9"/>
    <w:rsid w:val="00EF2706"/>
    <w:rsid w:val="00EF2F19"/>
    <w:rsid w:val="00EF2F76"/>
    <w:rsid w:val="00EF42D6"/>
    <w:rsid w:val="00EF4364"/>
    <w:rsid w:val="00EF4B86"/>
    <w:rsid w:val="00EF4CD4"/>
    <w:rsid w:val="00EF5BFC"/>
    <w:rsid w:val="00EF6579"/>
    <w:rsid w:val="00EF6704"/>
    <w:rsid w:val="00EF741D"/>
    <w:rsid w:val="00EF7EB7"/>
    <w:rsid w:val="00F0113E"/>
    <w:rsid w:val="00F018F6"/>
    <w:rsid w:val="00F01BA9"/>
    <w:rsid w:val="00F0213A"/>
    <w:rsid w:val="00F0480C"/>
    <w:rsid w:val="00F04AE4"/>
    <w:rsid w:val="00F04F06"/>
    <w:rsid w:val="00F052E6"/>
    <w:rsid w:val="00F063B5"/>
    <w:rsid w:val="00F069E3"/>
    <w:rsid w:val="00F0703D"/>
    <w:rsid w:val="00F07DC8"/>
    <w:rsid w:val="00F10FA8"/>
    <w:rsid w:val="00F122E4"/>
    <w:rsid w:val="00F12725"/>
    <w:rsid w:val="00F132B1"/>
    <w:rsid w:val="00F153CB"/>
    <w:rsid w:val="00F15496"/>
    <w:rsid w:val="00F1683C"/>
    <w:rsid w:val="00F16A7E"/>
    <w:rsid w:val="00F16AB4"/>
    <w:rsid w:val="00F17A1F"/>
    <w:rsid w:val="00F17F44"/>
    <w:rsid w:val="00F20780"/>
    <w:rsid w:val="00F21001"/>
    <w:rsid w:val="00F218E4"/>
    <w:rsid w:val="00F21D31"/>
    <w:rsid w:val="00F22176"/>
    <w:rsid w:val="00F241B3"/>
    <w:rsid w:val="00F2500E"/>
    <w:rsid w:val="00F25343"/>
    <w:rsid w:val="00F25DFE"/>
    <w:rsid w:val="00F26169"/>
    <w:rsid w:val="00F26226"/>
    <w:rsid w:val="00F26419"/>
    <w:rsid w:val="00F26EEB"/>
    <w:rsid w:val="00F30001"/>
    <w:rsid w:val="00F30021"/>
    <w:rsid w:val="00F30655"/>
    <w:rsid w:val="00F30962"/>
    <w:rsid w:val="00F30A31"/>
    <w:rsid w:val="00F32F55"/>
    <w:rsid w:val="00F348A6"/>
    <w:rsid w:val="00F3491F"/>
    <w:rsid w:val="00F35128"/>
    <w:rsid w:val="00F35433"/>
    <w:rsid w:val="00F35D76"/>
    <w:rsid w:val="00F3603C"/>
    <w:rsid w:val="00F37F9D"/>
    <w:rsid w:val="00F404EC"/>
    <w:rsid w:val="00F40EE5"/>
    <w:rsid w:val="00F41E7F"/>
    <w:rsid w:val="00F41F2D"/>
    <w:rsid w:val="00F42407"/>
    <w:rsid w:val="00F42671"/>
    <w:rsid w:val="00F42887"/>
    <w:rsid w:val="00F43706"/>
    <w:rsid w:val="00F441B2"/>
    <w:rsid w:val="00F44F22"/>
    <w:rsid w:val="00F46534"/>
    <w:rsid w:val="00F46CCF"/>
    <w:rsid w:val="00F47096"/>
    <w:rsid w:val="00F47249"/>
    <w:rsid w:val="00F5121A"/>
    <w:rsid w:val="00F5177D"/>
    <w:rsid w:val="00F51B81"/>
    <w:rsid w:val="00F522FD"/>
    <w:rsid w:val="00F52CFE"/>
    <w:rsid w:val="00F54045"/>
    <w:rsid w:val="00F55535"/>
    <w:rsid w:val="00F560AD"/>
    <w:rsid w:val="00F561CC"/>
    <w:rsid w:val="00F56C6E"/>
    <w:rsid w:val="00F572A3"/>
    <w:rsid w:val="00F57F92"/>
    <w:rsid w:val="00F601A5"/>
    <w:rsid w:val="00F60302"/>
    <w:rsid w:val="00F60EB0"/>
    <w:rsid w:val="00F61CD8"/>
    <w:rsid w:val="00F6211D"/>
    <w:rsid w:val="00F6242F"/>
    <w:rsid w:val="00F6306D"/>
    <w:rsid w:val="00F63412"/>
    <w:rsid w:val="00F64B53"/>
    <w:rsid w:val="00F65696"/>
    <w:rsid w:val="00F656C7"/>
    <w:rsid w:val="00F65952"/>
    <w:rsid w:val="00F660B2"/>
    <w:rsid w:val="00F66B0F"/>
    <w:rsid w:val="00F67134"/>
    <w:rsid w:val="00F67EAF"/>
    <w:rsid w:val="00F7045A"/>
    <w:rsid w:val="00F706A5"/>
    <w:rsid w:val="00F72814"/>
    <w:rsid w:val="00F74295"/>
    <w:rsid w:val="00F754F2"/>
    <w:rsid w:val="00F7774D"/>
    <w:rsid w:val="00F80049"/>
    <w:rsid w:val="00F8013B"/>
    <w:rsid w:val="00F8069D"/>
    <w:rsid w:val="00F806F6"/>
    <w:rsid w:val="00F80C95"/>
    <w:rsid w:val="00F81036"/>
    <w:rsid w:val="00F81747"/>
    <w:rsid w:val="00F82BAA"/>
    <w:rsid w:val="00F82E12"/>
    <w:rsid w:val="00F83290"/>
    <w:rsid w:val="00F83949"/>
    <w:rsid w:val="00F83AF1"/>
    <w:rsid w:val="00F84B3B"/>
    <w:rsid w:val="00F858D4"/>
    <w:rsid w:val="00F86529"/>
    <w:rsid w:val="00F869B4"/>
    <w:rsid w:val="00F905FF"/>
    <w:rsid w:val="00F907B3"/>
    <w:rsid w:val="00F90B82"/>
    <w:rsid w:val="00F924E6"/>
    <w:rsid w:val="00F93E93"/>
    <w:rsid w:val="00F940EB"/>
    <w:rsid w:val="00F9434F"/>
    <w:rsid w:val="00F95133"/>
    <w:rsid w:val="00F95E36"/>
    <w:rsid w:val="00F97B89"/>
    <w:rsid w:val="00F97CF0"/>
    <w:rsid w:val="00FA017F"/>
    <w:rsid w:val="00FA0CC7"/>
    <w:rsid w:val="00FA124A"/>
    <w:rsid w:val="00FA23B0"/>
    <w:rsid w:val="00FA25AB"/>
    <w:rsid w:val="00FA3FFD"/>
    <w:rsid w:val="00FA4CF3"/>
    <w:rsid w:val="00FA4E66"/>
    <w:rsid w:val="00FA569C"/>
    <w:rsid w:val="00FA5BED"/>
    <w:rsid w:val="00FB0205"/>
    <w:rsid w:val="00FB0A3D"/>
    <w:rsid w:val="00FB1CB2"/>
    <w:rsid w:val="00FB1D58"/>
    <w:rsid w:val="00FB35EC"/>
    <w:rsid w:val="00FB3FE7"/>
    <w:rsid w:val="00FB4904"/>
    <w:rsid w:val="00FB4A5E"/>
    <w:rsid w:val="00FB4BCF"/>
    <w:rsid w:val="00FB5AD1"/>
    <w:rsid w:val="00FB6582"/>
    <w:rsid w:val="00FB683D"/>
    <w:rsid w:val="00FB6D58"/>
    <w:rsid w:val="00FC0828"/>
    <w:rsid w:val="00FC0938"/>
    <w:rsid w:val="00FC0ABC"/>
    <w:rsid w:val="00FC106E"/>
    <w:rsid w:val="00FC1ADA"/>
    <w:rsid w:val="00FC1FE1"/>
    <w:rsid w:val="00FC2E49"/>
    <w:rsid w:val="00FC4452"/>
    <w:rsid w:val="00FC46FD"/>
    <w:rsid w:val="00FC491D"/>
    <w:rsid w:val="00FC4AD5"/>
    <w:rsid w:val="00FC5096"/>
    <w:rsid w:val="00FC5672"/>
    <w:rsid w:val="00FC5F98"/>
    <w:rsid w:val="00FC799E"/>
    <w:rsid w:val="00FC7DC8"/>
    <w:rsid w:val="00FD0BA3"/>
    <w:rsid w:val="00FD0D24"/>
    <w:rsid w:val="00FD0DC3"/>
    <w:rsid w:val="00FD0FB2"/>
    <w:rsid w:val="00FD15DD"/>
    <w:rsid w:val="00FD23B0"/>
    <w:rsid w:val="00FD2921"/>
    <w:rsid w:val="00FD2F0F"/>
    <w:rsid w:val="00FD3A51"/>
    <w:rsid w:val="00FD3BD2"/>
    <w:rsid w:val="00FD5A24"/>
    <w:rsid w:val="00FD5C11"/>
    <w:rsid w:val="00FD68E6"/>
    <w:rsid w:val="00FD6F63"/>
    <w:rsid w:val="00FE0071"/>
    <w:rsid w:val="00FE0307"/>
    <w:rsid w:val="00FE0719"/>
    <w:rsid w:val="00FE0CC7"/>
    <w:rsid w:val="00FE0E1E"/>
    <w:rsid w:val="00FE2AFC"/>
    <w:rsid w:val="00FE2D92"/>
    <w:rsid w:val="00FE3053"/>
    <w:rsid w:val="00FE33E9"/>
    <w:rsid w:val="00FE3E56"/>
    <w:rsid w:val="00FE3FF8"/>
    <w:rsid w:val="00FE4002"/>
    <w:rsid w:val="00FE4103"/>
    <w:rsid w:val="00FE44B2"/>
    <w:rsid w:val="00FE4E5D"/>
    <w:rsid w:val="00FE5A08"/>
    <w:rsid w:val="00FE7DCC"/>
    <w:rsid w:val="00FF08AF"/>
    <w:rsid w:val="00FF08FB"/>
    <w:rsid w:val="00FF108D"/>
    <w:rsid w:val="00FF1CEA"/>
    <w:rsid w:val="00FF25C0"/>
    <w:rsid w:val="00FF26FF"/>
    <w:rsid w:val="00FF2C28"/>
    <w:rsid w:val="00FF2E47"/>
    <w:rsid w:val="00FF3358"/>
    <w:rsid w:val="00FF3594"/>
    <w:rsid w:val="00FF4A0F"/>
    <w:rsid w:val="00FF503A"/>
    <w:rsid w:val="00FF593A"/>
    <w:rsid w:val="00FF5C7A"/>
    <w:rsid w:val="01125CC4"/>
    <w:rsid w:val="01FE702A"/>
    <w:rsid w:val="04440540"/>
    <w:rsid w:val="04B142D2"/>
    <w:rsid w:val="0782308B"/>
    <w:rsid w:val="08453B7E"/>
    <w:rsid w:val="094B43BB"/>
    <w:rsid w:val="095E573D"/>
    <w:rsid w:val="0B39153B"/>
    <w:rsid w:val="0C8B3F83"/>
    <w:rsid w:val="0D71777D"/>
    <w:rsid w:val="0DF636B9"/>
    <w:rsid w:val="0F124D83"/>
    <w:rsid w:val="1002539E"/>
    <w:rsid w:val="10C65E15"/>
    <w:rsid w:val="11005643"/>
    <w:rsid w:val="110638F6"/>
    <w:rsid w:val="123E1B2A"/>
    <w:rsid w:val="124E17B5"/>
    <w:rsid w:val="14306FEC"/>
    <w:rsid w:val="14AA4B78"/>
    <w:rsid w:val="16D13D1F"/>
    <w:rsid w:val="18A830E8"/>
    <w:rsid w:val="18AC0708"/>
    <w:rsid w:val="1915466F"/>
    <w:rsid w:val="1917409D"/>
    <w:rsid w:val="1A280C3E"/>
    <w:rsid w:val="1A9A1506"/>
    <w:rsid w:val="1BDC7CC0"/>
    <w:rsid w:val="1C9054F5"/>
    <w:rsid w:val="1CC950AD"/>
    <w:rsid w:val="1DEA1C92"/>
    <w:rsid w:val="1DFA0903"/>
    <w:rsid w:val="1DFF48C4"/>
    <w:rsid w:val="1E103CCB"/>
    <w:rsid w:val="1E155F33"/>
    <w:rsid w:val="1E3D3C2A"/>
    <w:rsid w:val="1EDF6A17"/>
    <w:rsid w:val="20BB1683"/>
    <w:rsid w:val="20DD1E6B"/>
    <w:rsid w:val="20EA6193"/>
    <w:rsid w:val="210F1EF5"/>
    <w:rsid w:val="22BF798B"/>
    <w:rsid w:val="24C63CFE"/>
    <w:rsid w:val="24D34C93"/>
    <w:rsid w:val="24FF3A5B"/>
    <w:rsid w:val="253C13ED"/>
    <w:rsid w:val="25D62DD1"/>
    <w:rsid w:val="25E73019"/>
    <w:rsid w:val="27CB7D05"/>
    <w:rsid w:val="283537B1"/>
    <w:rsid w:val="28C30213"/>
    <w:rsid w:val="296C401A"/>
    <w:rsid w:val="29CD63C3"/>
    <w:rsid w:val="2A045878"/>
    <w:rsid w:val="2A0F13C9"/>
    <w:rsid w:val="2A1A36EB"/>
    <w:rsid w:val="2A580749"/>
    <w:rsid w:val="2B5527D9"/>
    <w:rsid w:val="2B7D64D1"/>
    <w:rsid w:val="2C2D377C"/>
    <w:rsid w:val="2DA971BE"/>
    <w:rsid w:val="30DE6CBD"/>
    <w:rsid w:val="31465E47"/>
    <w:rsid w:val="31C43D16"/>
    <w:rsid w:val="33241BCF"/>
    <w:rsid w:val="33782E91"/>
    <w:rsid w:val="33B57D66"/>
    <w:rsid w:val="34546FE2"/>
    <w:rsid w:val="35DF0F44"/>
    <w:rsid w:val="36521DD3"/>
    <w:rsid w:val="36753B4B"/>
    <w:rsid w:val="36AE197C"/>
    <w:rsid w:val="37CB73D3"/>
    <w:rsid w:val="3832100D"/>
    <w:rsid w:val="38800047"/>
    <w:rsid w:val="393E2920"/>
    <w:rsid w:val="39811BF6"/>
    <w:rsid w:val="39A02C72"/>
    <w:rsid w:val="39BE4BC1"/>
    <w:rsid w:val="3A8474F6"/>
    <w:rsid w:val="3AC34C67"/>
    <w:rsid w:val="3B117D83"/>
    <w:rsid w:val="3CD0085C"/>
    <w:rsid w:val="3D5F68ED"/>
    <w:rsid w:val="3DFC1517"/>
    <w:rsid w:val="3E687378"/>
    <w:rsid w:val="3F48499C"/>
    <w:rsid w:val="44A25E1D"/>
    <w:rsid w:val="45474536"/>
    <w:rsid w:val="4584606D"/>
    <w:rsid w:val="45FA5FB7"/>
    <w:rsid w:val="46A74380"/>
    <w:rsid w:val="46C567A9"/>
    <w:rsid w:val="46FC2DB6"/>
    <w:rsid w:val="485C2FB6"/>
    <w:rsid w:val="488C3DAB"/>
    <w:rsid w:val="4AFB5E91"/>
    <w:rsid w:val="4BEC5D01"/>
    <w:rsid w:val="4D270FE8"/>
    <w:rsid w:val="4D9A1D53"/>
    <w:rsid w:val="4E64678B"/>
    <w:rsid w:val="4E753DF4"/>
    <w:rsid w:val="4E890EFD"/>
    <w:rsid w:val="4ED742FB"/>
    <w:rsid w:val="4F005627"/>
    <w:rsid w:val="4F6E19C1"/>
    <w:rsid w:val="4FC700B9"/>
    <w:rsid w:val="4FE92406"/>
    <w:rsid w:val="4FEF7305"/>
    <w:rsid w:val="510A1F31"/>
    <w:rsid w:val="51E14896"/>
    <w:rsid w:val="52386320"/>
    <w:rsid w:val="524D0FA2"/>
    <w:rsid w:val="52F23C3C"/>
    <w:rsid w:val="53C73C32"/>
    <w:rsid w:val="53D429CD"/>
    <w:rsid w:val="53E75F83"/>
    <w:rsid w:val="54540AC0"/>
    <w:rsid w:val="57215700"/>
    <w:rsid w:val="57D15692"/>
    <w:rsid w:val="582E1CA9"/>
    <w:rsid w:val="597041A6"/>
    <w:rsid w:val="59A20512"/>
    <w:rsid w:val="5AD67193"/>
    <w:rsid w:val="5BC05FC7"/>
    <w:rsid w:val="5D9F001C"/>
    <w:rsid w:val="5E357D37"/>
    <w:rsid w:val="5F1D07A4"/>
    <w:rsid w:val="60574CCE"/>
    <w:rsid w:val="614231BD"/>
    <w:rsid w:val="62003C18"/>
    <w:rsid w:val="620F43B1"/>
    <w:rsid w:val="62F65724"/>
    <w:rsid w:val="635875DC"/>
    <w:rsid w:val="64A71BA9"/>
    <w:rsid w:val="64C80DF6"/>
    <w:rsid w:val="65A42ACC"/>
    <w:rsid w:val="65A63F37"/>
    <w:rsid w:val="65AD24D5"/>
    <w:rsid w:val="663A5726"/>
    <w:rsid w:val="66E76B4D"/>
    <w:rsid w:val="67996FA8"/>
    <w:rsid w:val="68446300"/>
    <w:rsid w:val="69757B6B"/>
    <w:rsid w:val="69D90065"/>
    <w:rsid w:val="6B5C48EC"/>
    <w:rsid w:val="6C102BDB"/>
    <w:rsid w:val="6D024FBC"/>
    <w:rsid w:val="6DAD4328"/>
    <w:rsid w:val="6DB95BC6"/>
    <w:rsid w:val="6DE270C2"/>
    <w:rsid w:val="6EAD23DD"/>
    <w:rsid w:val="700821DE"/>
    <w:rsid w:val="709366CA"/>
    <w:rsid w:val="7106282E"/>
    <w:rsid w:val="71896CE4"/>
    <w:rsid w:val="7221526C"/>
    <w:rsid w:val="73DA6022"/>
    <w:rsid w:val="746A1A1A"/>
    <w:rsid w:val="756947C6"/>
    <w:rsid w:val="75CC56D1"/>
    <w:rsid w:val="760C487A"/>
    <w:rsid w:val="76CC5C62"/>
    <w:rsid w:val="77E12C94"/>
    <w:rsid w:val="786F681E"/>
    <w:rsid w:val="7AB06B4F"/>
    <w:rsid w:val="7B075A4E"/>
    <w:rsid w:val="7CE0698A"/>
    <w:rsid w:val="7D34001F"/>
    <w:rsid w:val="7DAA5145"/>
    <w:rsid w:val="7E33240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name="Body Text Indent 2"/>
    <w:lsdException w:uiPriority="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Theme="minorEastAsia" w:cstheme="minorBidi"/>
      <w:kern w:val="2"/>
      <w:sz w:val="24"/>
      <w:szCs w:val="21"/>
      <w:lang w:val="en-US" w:eastAsia="zh-CN" w:bidi="ar-SA"/>
    </w:rPr>
  </w:style>
  <w:style w:type="paragraph" w:styleId="4">
    <w:name w:val="heading 1"/>
    <w:basedOn w:val="5"/>
    <w:next w:val="1"/>
    <w:link w:val="40"/>
    <w:qFormat/>
    <w:uiPriority w:val="9"/>
    <w:pPr>
      <w:keepNext/>
      <w:keepLines/>
      <w:numPr>
        <w:ilvl w:val="0"/>
        <w:numId w:val="1"/>
      </w:numPr>
      <w:spacing w:before="0" w:after="0"/>
      <w:jc w:val="left"/>
    </w:pPr>
    <w:rPr>
      <w:rFonts w:ascii="Times New Roman" w:hAnsi="Times New Roman"/>
      <w:bCs w:val="0"/>
      <w:kern w:val="44"/>
      <w:sz w:val="28"/>
      <w:szCs w:val="44"/>
    </w:rPr>
  </w:style>
  <w:style w:type="paragraph" w:styleId="6">
    <w:name w:val="heading 2"/>
    <w:basedOn w:val="1"/>
    <w:next w:val="1"/>
    <w:link w:val="41"/>
    <w:unhideWhenUsed/>
    <w:qFormat/>
    <w:uiPriority w:val="9"/>
    <w:pPr>
      <w:keepLines/>
      <w:numPr>
        <w:ilvl w:val="1"/>
        <w:numId w:val="1"/>
      </w:numPr>
      <w:spacing w:line="360" w:lineRule="auto"/>
      <w:ind w:left="576"/>
      <w:jc w:val="left"/>
      <w:outlineLvl w:val="1"/>
    </w:pPr>
  </w:style>
  <w:style w:type="paragraph" w:styleId="7">
    <w:name w:val="heading 3"/>
    <w:basedOn w:val="5"/>
    <w:next w:val="1"/>
    <w:link w:val="42"/>
    <w:unhideWhenUsed/>
    <w:qFormat/>
    <w:uiPriority w:val="9"/>
    <w:pPr>
      <w:keepNext/>
      <w:keepLines/>
      <w:numPr>
        <w:ilvl w:val="2"/>
        <w:numId w:val="1"/>
      </w:numPr>
      <w:spacing w:before="0" w:after="0" w:line="360" w:lineRule="auto"/>
      <w:ind w:left="720"/>
      <w:jc w:val="left"/>
      <w:outlineLvl w:val="2"/>
    </w:pPr>
    <w:rPr>
      <w:rFonts w:ascii="Times New Roman" w:hAnsi="Times New Roman"/>
      <w:bCs w:val="0"/>
      <w:sz w:val="24"/>
    </w:rPr>
  </w:style>
  <w:style w:type="paragraph" w:styleId="8">
    <w:name w:val="heading 4"/>
    <w:basedOn w:val="1"/>
    <w:next w:val="1"/>
    <w:link w:val="43"/>
    <w:unhideWhenUsed/>
    <w:qFormat/>
    <w:uiPriority w:val="9"/>
    <w:pPr>
      <w:keepNext/>
      <w:keepLines/>
      <w:numPr>
        <w:ilvl w:val="3"/>
        <w:numId w:val="1"/>
      </w:numPr>
      <w:spacing w:line="360" w:lineRule="auto"/>
      <w:outlineLvl w:val="3"/>
    </w:pPr>
    <w:rPr>
      <w:rFonts w:cstheme="majorBidi"/>
      <w:b/>
      <w:bCs/>
      <w:szCs w:val="28"/>
    </w:rPr>
  </w:style>
  <w:style w:type="paragraph" w:styleId="9">
    <w:name w:val="heading 5"/>
    <w:basedOn w:val="1"/>
    <w:next w:val="1"/>
    <w:link w:val="44"/>
    <w:semiHidden/>
    <w:qFormat/>
    <w:uiPriority w:val="9"/>
    <w:pPr>
      <w:keepNext/>
      <w:keepLines/>
      <w:numPr>
        <w:ilvl w:val="4"/>
        <w:numId w:val="1"/>
      </w:numPr>
      <w:spacing w:before="280" w:after="290" w:line="376" w:lineRule="auto"/>
      <w:outlineLvl w:val="4"/>
    </w:pPr>
    <w:rPr>
      <w:b/>
      <w:bCs/>
      <w:sz w:val="28"/>
      <w:szCs w:val="28"/>
    </w:rPr>
  </w:style>
  <w:style w:type="paragraph" w:styleId="10">
    <w:name w:val="heading 6"/>
    <w:basedOn w:val="1"/>
    <w:next w:val="1"/>
    <w:link w:val="45"/>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11">
    <w:name w:val="heading 7"/>
    <w:basedOn w:val="1"/>
    <w:next w:val="1"/>
    <w:link w:val="46"/>
    <w:unhideWhenUsed/>
    <w:qFormat/>
    <w:uiPriority w:val="9"/>
    <w:pPr>
      <w:keepNext/>
      <w:keepLines/>
      <w:numPr>
        <w:ilvl w:val="6"/>
        <w:numId w:val="1"/>
      </w:numPr>
      <w:spacing w:before="240" w:after="64" w:line="320" w:lineRule="auto"/>
      <w:outlineLvl w:val="6"/>
    </w:pPr>
    <w:rPr>
      <w:b/>
      <w:bCs/>
      <w:szCs w:val="24"/>
    </w:rPr>
  </w:style>
  <w:style w:type="paragraph" w:styleId="12">
    <w:name w:val="heading 8"/>
    <w:basedOn w:val="1"/>
    <w:next w:val="1"/>
    <w:link w:val="47"/>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3">
    <w:name w:val="heading 9"/>
    <w:basedOn w:val="1"/>
    <w:next w:val="1"/>
    <w:link w:val="48"/>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4"/>
    <w:unhideWhenUsed/>
    <w:qFormat/>
    <w:uiPriority w:val="99"/>
    <w:pPr>
      <w:spacing w:after="120"/>
    </w:pPr>
  </w:style>
  <w:style w:type="paragraph" w:customStyle="1" w:styleId="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styleId="5">
    <w:name w:val="Title"/>
    <w:basedOn w:val="1"/>
    <w:next w:val="1"/>
    <w:link w:val="49"/>
    <w:qFormat/>
    <w:uiPriority w:val="99"/>
    <w:pPr>
      <w:spacing w:before="240" w:after="60"/>
      <w:jc w:val="center"/>
      <w:outlineLvl w:val="0"/>
    </w:pPr>
    <w:rPr>
      <w:rFonts w:eastAsia="宋体" w:asciiTheme="majorHAnsi" w:hAnsiTheme="majorHAnsi" w:cstheme="majorBidi"/>
      <w:b/>
      <w:bCs/>
      <w:sz w:val="32"/>
      <w:szCs w:val="32"/>
    </w:rPr>
  </w:style>
  <w:style w:type="paragraph" w:styleId="14">
    <w:name w:val="Normal Indent"/>
    <w:basedOn w:val="1"/>
    <w:link w:val="98"/>
    <w:unhideWhenUsed/>
    <w:qFormat/>
    <w:uiPriority w:val="0"/>
    <w:pPr>
      <w:ind w:firstLine="420" w:firstLineChars="200"/>
    </w:pPr>
    <w:rPr>
      <w:rFonts w:eastAsia="宋体" w:cs="Times New Roman"/>
      <w:sz w:val="21"/>
      <w:szCs w:val="24"/>
    </w:rPr>
  </w:style>
  <w:style w:type="paragraph" w:styleId="15">
    <w:name w:val="caption"/>
    <w:basedOn w:val="1"/>
    <w:next w:val="1"/>
    <w:link w:val="83"/>
    <w:unhideWhenUsed/>
    <w:qFormat/>
    <w:uiPriority w:val="99"/>
    <w:pPr>
      <w:spacing w:line="360" w:lineRule="auto"/>
      <w:jc w:val="center"/>
    </w:pPr>
    <w:rPr>
      <w:rFonts w:eastAsia="宋体" w:cstheme="majorBidi"/>
      <w:b/>
      <w:szCs w:val="20"/>
    </w:rPr>
  </w:style>
  <w:style w:type="paragraph" w:styleId="16">
    <w:name w:val="Document Map"/>
    <w:basedOn w:val="1"/>
    <w:link w:val="61"/>
    <w:unhideWhenUsed/>
    <w:qFormat/>
    <w:uiPriority w:val="99"/>
    <w:rPr>
      <w:rFonts w:ascii="宋体" w:eastAsia="宋体"/>
      <w:sz w:val="18"/>
      <w:szCs w:val="18"/>
    </w:rPr>
  </w:style>
  <w:style w:type="paragraph" w:styleId="17">
    <w:name w:val="annotation text"/>
    <w:basedOn w:val="1"/>
    <w:link w:val="95"/>
    <w:qFormat/>
    <w:uiPriority w:val="0"/>
    <w:pPr>
      <w:jc w:val="left"/>
    </w:pPr>
    <w:rPr>
      <w:rFonts w:asciiTheme="minorHAnsi" w:hAnsiTheme="minorHAnsi"/>
      <w:sz w:val="21"/>
      <w:szCs w:val="24"/>
    </w:rPr>
  </w:style>
  <w:style w:type="paragraph" w:styleId="18">
    <w:name w:val="Salutation"/>
    <w:basedOn w:val="1"/>
    <w:next w:val="1"/>
    <w:link w:val="92"/>
    <w:qFormat/>
    <w:uiPriority w:val="0"/>
    <w:rPr>
      <w:rFonts w:asciiTheme="minorHAnsi" w:hAnsiTheme="minorHAnsi"/>
      <w:sz w:val="21"/>
      <w:szCs w:val="24"/>
    </w:rPr>
  </w:style>
  <w:style w:type="paragraph" w:styleId="19">
    <w:name w:val="Body Text Indent"/>
    <w:basedOn w:val="1"/>
    <w:link w:val="56"/>
    <w:unhideWhenUsed/>
    <w:qFormat/>
    <w:uiPriority w:val="99"/>
    <w:pPr>
      <w:spacing w:line="360" w:lineRule="auto"/>
      <w:ind w:firstLine="480"/>
    </w:pPr>
    <w:rPr>
      <w:rFonts w:ascii="宋体" w:hAnsi="宋体" w:eastAsia="宋体" w:cs="Times New Roman"/>
      <w:color w:val="FF6600"/>
      <w:szCs w:val="24"/>
    </w:rPr>
  </w:style>
  <w:style w:type="paragraph" w:styleId="20">
    <w:name w:val="toc 3"/>
    <w:basedOn w:val="1"/>
    <w:next w:val="1"/>
    <w:unhideWhenUsed/>
    <w:qFormat/>
    <w:uiPriority w:val="39"/>
    <w:pPr>
      <w:ind w:left="840" w:leftChars="400"/>
    </w:pPr>
  </w:style>
  <w:style w:type="paragraph" w:styleId="21">
    <w:name w:val="Plain Text"/>
    <w:basedOn w:val="1"/>
    <w:link w:val="54"/>
    <w:unhideWhenUsed/>
    <w:qFormat/>
    <w:uiPriority w:val="0"/>
    <w:rPr>
      <w:rFonts w:ascii="宋体" w:hAnsi="Courier New" w:eastAsia="宋体" w:cs="Times New Roman"/>
      <w:sz w:val="21"/>
      <w:szCs w:val="20"/>
    </w:rPr>
  </w:style>
  <w:style w:type="paragraph" w:styleId="22">
    <w:name w:val="Body Text Indent 2"/>
    <w:basedOn w:val="1"/>
    <w:link w:val="109"/>
    <w:semiHidden/>
    <w:unhideWhenUsed/>
    <w:qFormat/>
    <w:uiPriority w:val="99"/>
    <w:pPr>
      <w:spacing w:after="120" w:line="480" w:lineRule="auto"/>
      <w:ind w:left="420" w:leftChars="200"/>
    </w:pPr>
  </w:style>
  <w:style w:type="paragraph" w:styleId="23">
    <w:name w:val="Balloon Text"/>
    <w:basedOn w:val="1"/>
    <w:link w:val="53"/>
    <w:unhideWhenUsed/>
    <w:qFormat/>
    <w:uiPriority w:val="99"/>
    <w:rPr>
      <w:sz w:val="18"/>
      <w:szCs w:val="18"/>
    </w:rPr>
  </w:style>
  <w:style w:type="paragraph" w:styleId="24">
    <w:name w:val="footer"/>
    <w:basedOn w:val="1"/>
    <w:link w:val="51"/>
    <w:unhideWhenUsed/>
    <w:qFormat/>
    <w:uiPriority w:val="99"/>
    <w:pPr>
      <w:tabs>
        <w:tab w:val="center" w:pos="4153"/>
        <w:tab w:val="right" w:pos="8306"/>
      </w:tabs>
      <w:snapToGrid w:val="0"/>
      <w:jc w:val="left"/>
    </w:pPr>
    <w:rPr>
      <w:sz w:val="18"/>
      <w:szCs w:val="18"/>
    </w:rPr>
  </w:style>
  <w:style w:type="paragraph" w:styleId="25">
    <w:name w:val="header"/>
    <w:basedOn w:val="1"/>
    <w:link w:val="50"/>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style>
  <w:style w:type="paragraph" w:styleId="27">
    <w:name w:val="footnote text"/>
    <w:basedOn w:val="1"/>
    <w:link w:val="76"/>
    <w:unhideWhenUsed/>
    <w:qFormat/>
    <w:uiPriority w:val="99"/>
    <w:pPr>
      <w:snapToGrid w:val="0"/>
      <w:jc w:val="left"/>
    </w:pPr>
    <w:rPr>
      <w:sz w:val="18"/>
      <w:szCs w:val="18"/>
    </w:rPr>
  </w:style>
  <w:style w:type="paragraph" w:styleId="28">
    <w:name w:val="toc 2"/>
    <w:basedOn w:val="1"/>
    <w:next w:val="1"/>
    <w:unhideWhenUsed/>
    <w:qFormat/>
    <w:uiPriority w:val="39"/>
    <w:pPr>
      <w:ind w:left="420" w:leftChars="200"/>
    </w:pPr>
  </w:style>
  <w:style w:type="paragraph" w:styleId="29">
    <w:name w:val="Normal (Web)"/>
    <w:basedOn w:val="1"/>
    <w:qFormat/>
    <w:uiPriority w:val="99"/>
    <w:pPr>
      <w:widowControl/>
      <w:spacing w:before="100" w:beforeAutospacing="1" w:after="100" w:afterAutospacing="1"/>
      <w:jc w:val="left"/>
    </w:pPr>
    <w:rPr>
      <w:rFonts w:ascii="宋体" w:hAnsi="宋体" w:eastAsia="宋体" w:cs="Times New Roman"/>
      <w:kern w:val="0"/>
      <w:szCs w:val="24"/>
    </w:rPr>
  </w:style>
  <w:style w:type="paragraph" w:styleId="30">
    <w:name w:val="annotation subject"/>
    <w:basedOn w:val="17"/>
    <w:next w:val="17"/>
    <w:link w:val="100"/>
    <w:unhideWhenUsed/>
    <w:qFormat/>
    <w:uiPriority w:val="99"/>
    <w:rPr>
      <w:rFonts w:ascii="Times New Roman" w:hAnsi="Times New Roman"/>
      <w:b/>
      <w:bCs/>
      <w:sz w:val="24"/>
      <w:szCs w:val="21"/>
    </w:rPr>
  </w:style>
  <w:style w:type="paragraph" w:styleId="31">
    <w:name w:val="Body Text First Indent"/>
    <w:basedOn w:val="2"/>
    <w:link w:val="75"/>
    <w:unhideWhenUsed/>
    <w:qFormat/>
    <w:uiPriority w:val="99"/>
    <w:pPr>
      <w:ind w:firstLine="420" w:firstLineChars="100"/>
    </w:pPr>
  </w:style>
  <w:style w:type="paragraph" w:styleId="32">
    <w:name w:val="Body Text First Indent 2"/>
    <w:basedOn w:val="19"/>
    <w:link w:val="107"/>
    <w:unhideWhenUsed/>
    <w:qFormat/>
    <w:uiPriority w:val="99"/>
    <w:pPr>
      <w:spacing w:after="120" w:line="240" w:lineRule="auto"/>
      <w:ind w:left="420" w:leftChars="200" w:firstLine="420" w:firstLineChars="200"/>
    </w:pPr>
    <w:rPr>
      <w:rFonts w:ascii="Times New Roman" w:hAnsi="Times New Roman" w:eastAsiaTheme="minorEastAsia" w:cstheme="minorBidi"/>
      <w:color w:val="auto"/>
      <w:szCs w:val="21"/>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36">
    <w:name w:val="Strong"/>
    <w:basedOn w:val="35"/>
    <w:qFormat/>
    <w:uiPriority w:val="22"/>
    <w:rPr>
      <w:b/>
    </w:rPr>
  </w:style>
  <w:style w:type="character" w:styleId="37">
    <w:name w:val="Hyperlink"/>
    <w:basedOn w:val="35"/>
    <w:unhideWhenUsed/>
    <w:qFormat/>
    <w:uiPriority w:val="99"/>
    <w:rPr>
      <w:color w:val="0000FF" w:themeColor="hyperlink"/>
      <w:u w:val="single"/>
    </w:rPr>
  </w:style>
  <w:style w:type="character" w:styleId="38">
    <w:name w:val="annotation reference"/>
    <w:qFormat/>
    <w:uiPriority w:val="0"/>
    <w:rPr>
      <w:sz w:val="21"/>
      <w:szCs w:val="21"/>
    </w:rPr>
  </w:style>
  <w:style w:type="character" w:styleId="39">
    <w:name w:val="footnote reference"/>
    <w:basedOn w:val="35"/>
    <w:unhideWhenUsed/>
    <w:qFormat/>
    <w:uiPriority w:val="99"/>
    <w:rPr>
      <w:vertAlign w:val="superscript"/>
    </w:rPr>
  </w:style>
  <w:style w:type="character" w:customStyle="1" w:styleId="40">
    <w:name w:val="标题 1 字符"/>
    <w:basedOn w:val="35"/>
    <w:link w:val="4"/>
    <w:qFormat/>
    <w:uiPriority w:val="9"/>
    <w:rPr>
      <w:rFonts w:ascii="Times New Roman" w:hAnsi="Times New Roman" w:eastAsia="宋体" w:cstheme="majorBidi"/>
      <w:b/>
      <w:kern w:val="44"/>
      <w:sz w:val="28"/>
      <w:szCs w:val="44"/>
    </w:rPr>
  </w:style>
  <w:style w:type="character" w:customStyle="1" w:styleId="41">
    <w:name w:val="标题 2 字符"/>
    <w:basedOn w:val="35"/>
    <w:link w:val="6"/>
    <w:qFormat/>
    <w:uiPriority w:val="9"/>
    <w:rPr>
      <w:rFonts w:ascii="Times New Roman" w:hAnsi="Times New Roman" w:eastAsia="宋体" w:cstheme="majorBidi"/>
      <w:b/>
      <w:kern w:val="2"/>
      <w:sz w:val="24"/>
      <w:szCs w:val="32"/>
    </w:rPr>
  </w:style>
  <w:style w:type="character" w:customStyle="1" w:styleId="42">
    <w:name w:val="标题 3 字符"/>
    <w:basedOn w:val="35"/>
    <w:link w:val="7"/>
    <w:qFormat/>
    <w:uiPriority w:val="9"/>
    <w:rPr>
      <w:rFonts w:cstheme="majorBidi"/>
      <w:b/>
      <w:kern w:val="2"/>
      <w:sz w:val="24"/>
      <w:szCs w:val="32"/>
    </w:rPr>
  </w:style>
  <w:style w:type="character" w:customStyle="1" w:styleId="43">
    <w:name w:val="标题 4 字符"/>
    <w:basedOn w:val="35"/>
    <w:link w:val="8"/>
    <w:qFormat/>
    <w:uiPriority w:val="9"/>
    <w:rPr>
      <w:rFonts w:ascii="Times New Roman" w:hAnsi="Times New Roman" w:cstheme="majorBidi"/>
      <w:b/>
      <w:bCs/>
      <w:kern w:val="2"/>
      <w:sz w:val="24"/>
      <w:szCs w:val="28"/>
    </w:rPr>
  </w:style>
  <w:style w:type="character" w:customStyle="1" w:styleId="44">
    <w:name w:val="标题 5 字符"/>
    <w:basedOn w:val="35"/>
    <w:link w:val="9"/>
    <w:semiHidden/>
    <w:qFormat/>
    <w:uiPriority w:val="9"/>
    <w:rPr>
      <w:rFonts w:ascii="Times New Roman" w:hAnsi="Times New Roman"/>
      <w:b/>
      <w:bCs/>
      <w:kern w:val="2"/>
      <w:sz w:val="28"/>
      <w:szCs w:val="28"/>
    </w:rPr>
  </w:style>
  <w:style w:type="character" w:customStyle="1" w:styleId="45">
    <w:name w:val="标题 6 字符"/>
    <w:basedOn w:val="35"/>
    <w:link w:val="10"/>
    <w:qFormat/>
    <w:uiPriority w:val="9"/>
    <w:rPr>
      <w:rFonts w:asciiTheme="majorHAnsi" w:hAnsiTheme="majorHAnsi" w:eastAsiaTheme="majorEastAsia" w:cstheme="majorBidi"/>
      <w:b/>
      <w:bCs/>
      <w:kern w:val="2"/>
      <w:sz w:val="24"/>
      <w:szCs w:val="24"/>
    </w:rPr>
  </w:style>
  <w:style w:type="character" w:customStyle="1" w:styleId="46">
    <w:name w:val="标题 7 字符"/>
    <w:basedOn w:val="35"/>
    <w:link w:val="11"/>
    <w:qFormat/>
    <w:uiPriority w:val="9"/>
    <w:rPr>
      <w:rFonts w:ascii="Times New Roman" w:hAnsi="Times New Roman"/>
      <w:b/>
      <w:bCs/>
      <w:kern w:val="2"/>
      <w:sz w:val="24"/>
      <w:szCs w:val="24"/>
    </w:rPr>
  </w:style>
  <w:style w:type="character" w:customStyle="1" w:styleId="47">
    <w:name w:val="标题 8 字符"/>
    <w:basedOn w:val="35"/>
    <w:link w:val="12"/>
    <w:qFormat/>
    <w:uiPriority w:val="9"/>
    <w:rPr>
      <w:rFonts w:asciiTheme="majorHAnsi" w:hAnsiTheme="majorHAnsi" w:eastAsiaTheme="majorEastAsia" w:cstheme="majorBidi"/>
      <w:kern w:val="2"/>
      <w:sz w:val="24"/>
      <w:szCs w:val="24"/>
    </w:rPr>
  </w:style>
  <w:style w:type="character" w:customStyle="1" w:styleId="48">
    <w:name w:val="标题 9 字符"/>
    <w:basedOn w:val="35"/>
    <w:link w:val="13"/>
    <w:qFormat/>
    <w:uiPriority w:val="9"/>
    <w:rPr>
      <w:rFonts w:asciiTheme="majorHAnsi" w:hAnsiTheme="majorHAnsi" w:eastAsiaTheme="majorEastAsia" w:cstheme="majorBidi"/>
      <w:kern w:val="2"/>
      <w:sz w:val="24"/>
      <w:szCs w:val="21"/>
    </w:rPr>
  </w:style>
  <w:style w:type="character" w:customStyle="1" w:styleId="49">
    <w:name w:val="标题 字符"/>
    <w:basedOn w:val="35"/>
    <w:link w:val="5"/>
    <w:qFormat/>
    <w:uiPriority w:val="99"/>
    <w:rPr>
      <w:rFonts w:eastAsia="宋体" w:asciiTheme="majorHAnsi" w:hAnsiTheme="majorHAnsi" w:cstheme="majorBidi"/>
      <w:b/>
      <w:bCs/>
      <w:sz w:val="32"/>
      <w:szCs w:val="32"/>
    </w:rPr>
  </w:style>
  <w:style w:type="character" w:customStyle="1" w:styleId="50">
    <w:name w:val="页眉 字符"/>
    <w:basedOn w:val="35"/>
    <w:link w:val="25"/>
    <w:qFormat/>
    <w:uiPriority w:val="99"/>
    <w:rPr>
      <w:sz w:val="18"/>
      <w:szCs w:val="18"/>
    </w:rPr>
  </w:style>
  <w:style w:type="character" w:customStyle="1" w:styleId="51">
    <w:name w:val="页脚 字符"/>
    <w:basedOn w:val="35"/>
    <w:link w:val="24"/>
    <w:qFormat/>
    <w:uiPriority w:val="99"/>
    <w:rPr>
      <w:sz w:val="18"/>
      <w:szCs w:val="18"/>
    </w:rPr>
  </w:style>
  <w:style w:type="paragraph" w:customStyle="1" w:styleId="52">
    <w:name w:val="标题4"/>
    <w:basedOn w:val="8"/>
    <w:qFormat/>
    <w:uiPriority w:val="0"/>
  </w:style>
  <w:style w:type="character" w:customStyle="1" w:styleId="53">
    <w:name w:val="批注框文本 字符"/>
    <w:basedOn w:val="35"/>
    <w:link w:val="23"/>
    <w:qFormat/>
    <w:uiPriority w:val="99"/>
    <w:rPr>
      <w:rFonts w:ascii="Times New Roman" w:hAnsi="Times New Roman"/>
      <w:sz w:val="18"/>
      <w:szCs w:val="18"/>
    </w:rPr>
  </w:style>
  <w:style w:type="character" w:customStyle="1" w:styleId="54">
    <w:name w:val="纯文本 字符"/>
    <w:basedOn w:val="35"/>
    <w:link w:val="21"/>
    <w:qFormat/>
    <w:uiPriority w:val="99"/>
    <w:rPr>
      <w:rFonts w:ascii="宋体" w:hAnsi="Courier New" w:eastAsia="宋体" w:cs="Times New Roman"/>
      <w:szCs w:val="20"/>
    </w:rPr>
  </w:style>
  <w:style w:type="paragraph" w:customStyle="1" w:styleId="55">
    <w:name w:val="本文正文"/>
    <w:basedOn w:val="1"/>
    <w:qFormat/>
    <w:uiPriority w:val="0"/>
    <w:pPr>
      <w:spacing w:before="156" w:after="156" w:line="360" w:lineRule="auto"/>
      <w:ind w:firstLine="480" w:firstLineChars="200"/>
    </w:pPr>
    <w:rPr>
      <w:rFonts w:cs="宋体"/>
      <w:szCs w:val="20"/>
    </w:rPr>
  </w:style>
  <w:style w:type="character" w:customStyle="1" w:styleId="56">
    <w:name w:val="正文文本缩进 字符"/>
    <w:basedOn w:val="35"/>
    <w:link w:val="19"/>
    <w:qFormat/>
    <w:uiPriority w:val="99"/>
    <w:rPr>
      <w:rFonts w:ascii="宋体" w:hAnsi="宋体" w:eastAsia="宋体" w:cs="Times New Roman"/>
      <w:color w:val="FF6600"/>
      <w:sz w:val="24"/>
      <w:szCs w:val="24"/>
    </w:rPr>
  </w:style>
  <w:style w:type="paragraph" w:customStyle="1" w:styleId="57">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 w:val="21"/>
      <w:szCs w:val="20"/>
    </w:rPr>
  </w:style>
  <w:style w:type="character" w:customStyle="1" w:styleId="58">
    <w:name w:val="fontstyle01"/>
    <w:basedOn w:val="35"/>
    <w:qFormat/>
    <w:uiPriority w:val="0"/>
    <w:rPr>
      <w:rFonts w:hint="eastAsia" w:ascii="宋体" w:hAnsi="宋体" w:eastAsia="宋体"/>
      <w:color w:val="000000"/>
      <w:sz w:val="24"/>
      <w:szCs w:val="24"/>
    </w:rPr>
  </w:style>
  <w:style w:type="character" w:customStyle="1" w:styleId="59">
    <w:name w:val="fontstyle21"/>
    <w:basedOn w:val="35"/>
    <w:qFormat/>
    <w:uiPriority w:val="0"/>
    <w:rPr>
      <w:rFonts w:hint="default" w:ascii="TimesNewRomanPSMT" w:hAnsi="TimesNewRomanPSMT"/>
      <w:color w:val="000000"/>
      <w:sz w:val="24"/>
      <w:szCs w:val="24"/>
    </w:rPr>
  </w:style>
  <w:style w:type="paragraph" w:customStyle="1" w:styleId="60">
    <w:name w:val="列出段落1"/>
    <w:basedOn w:val="1"/>
    <w:qFormat/>
    <w:uiPriority w:val="34"/>
    <w:pPr>
      <w:ind w:firstLine="420" w:firstLineChars="200"/>
    </w:pPr>
  </w:style>
  <w:style w:type="character" w:customStyle="1" w:styleId="61">
    <w:name w:val="文档结构图 字符"/>
    <w:basedOn w:val="35"/>
    <w:link w:val="16"/>
    <w:semiHidden/>
    <w:qFormat/>
    <w:uiPriority w:val="99"/>
    <w:rPr>
      <w:rFonts w:ascii="宋体" w:hAnsi="Times New Roman" w:eastAsia="宋体"/>
      <w:kern w:val="2"/>
      <w:sz w:val="18"/>
      <w:szCs w:val="18"/>
    </w:rPr>
  </w:style>
  <w:style w:type="paragraph" w:customStyle="1" w:styleId="62">
    <w:name w:val="Date1"/>
    <w:basedOn w:val="1"/>
    <w:next w:val="1"/>
    <w:qFormat/>
    <w:uiPriority w:val="0"/>
    <w:pPr>
      <w:adjustRightInd w:val="0"/>
      <w:textAlignment w:val="baseline"/>
    </w:pPr>
    <w:rPr>
      <w:rFonts w:eastAsia="宋体" w:cs="Times New Roman"/>
      <w:sz w:val="21"/>
      <w:szCs w:val="20"/>
    </w:rPr>
  </w:style>
  <w:style w:type="paragraph" w:customStyle="1" w:styleId="63">
    <w:name w:val="固定表格"/>
    <w:basedOn w:val="1"/>
    <w:qFormat/>
    <w:uiPriority w:val="0"/>
    <w:pPr>
      <w:spacing w:line="360" w:lineRule="exact"/>
      <w:jc w:val="center"/>
    </w:pPr>
    <w:rPr>
      <w:rFonts w:eastAsia="宋体" w:cs="Times New Roman"/>
      <w:sz w:val="21"/>
      <w:szCs w:val="20"/>
    </w:rPr>
  </w:style>
  <w:style w:type="paragraph" w:customStyle="1" w:styleId="64">
    <w:name w:val="文本正文"/>
    <w:basedOn w:val="1"/>
    <w:qFormat/>
    <w:uiPriority w:val="0"/>
    <w:pPr>
      <w:spacing w:line="520" w:lineRule="exact"/>
      <w:ind w:firstLine="200" w:firstLineChars="200"/>
    </w:pPr>
    <w:rPr>
      <w:rFonts w:eastAsia="宋体" w:cs="Times New Roman"/>
      <w:szCs w:val="24"/>
    </w:rPr>
  </w:style>
  <w:style w:type="character" w:customStyle="1" w:styleId="65">
    <w:name w:val="样式2 Char"/>
    <w:basedOn w:val="35"/>
    <w:link w:val="66"/>
    <w:qFormat/>
    <w:uiPriority w:val="0"/>
    <w:rPr>
      <w:rFonts w:eastAsia="宋体"/>
      <w:kern w:val="2"/>
      <w:sz w:val="24"/>
      <w:szCs w:val="24"/>
    </w:rPr>
  </w:style>
  <w:style w:type="paragraph" w:customStyle="1" w:styleId="66">
    <w:name w:val="样式2"/>
    <w:basedOn w:val="1"/>
    <w:link w:val="65"/>
    <w:qFormat/>
    <w:uiPriority w:val="0"/>
    <w:pPr>
      <w:spacing w:line="500" w:lineRule="exact"/>
      <w:ind w:firstLine="480" w:firstLineChars="200"/>
      <w:textAlignment w:val="baseline"/>
    </w:pPr>
    <w:rPr>
      <w:rFonts w:eastAsia="宋体" w:asciiTheme="minorHAnsi" w:hAnsiTheme="minorHAnsi"/>
      <w:szCs w:val="24"/>
    </w:rPr>
  </w:style>
  <w:style w:type="paragraph" w:customStyle="1" w:styleId="67">
    <w:name w:val="TOC 标题1"/>
    <w:basedOn w:val="4"/>
    <w:next w:val="1"/>
    <w:unhideWhenUsed/>
    <w:qFormat/>
    <w:uiPriority w:val="39"/>
    <w:pPr>
      <w:widowControl/>
      <w:numPr>
        <w:numId w:val="0"/>
      </w:numPr>
      <w:spacing w:before="480" w:line="276" w:lineRule="auto"/>
      <w:outlineLvl w:val="9"/>
    </w:pPr>
    <w:rPr>
      <w:rFonts w:asciiTheme="majorHAnsi" w:hAnsiTheme="majorHAnsi" w:eastAsiaTheme="majorEastAsia"/>
      <w:bCs/>
      <w:color w:val="366091" w:themeColor="accent1" w:themeShade="BF"/>
      <w:kern w:val="0"/>
      <w:szCs w:val="28"/>
    </w:rPr>
  </w:style>
  <w:style w:type="character" w:customStyle="1" w:styleId="68">
    <w:name w:val="font21"/>
    <w:basedOn w:val="35"/>
    <w:qFormat/>
    <w:uiPriority w:val="0"/>
    <w:rPr>
      <w:rFonts w:hint="eastAsia" w:ascii="宋体" w:hAnsi="宋体" w:eastAsia="宋体" w:cs="宋体"/>
      <w:color w:val="000000"/>
      <w:sz w:val="24"/>
      <w:szCs w:val="24"/>
      <w:u w:val="none"/>
    </w:rPr>
  </w:style>
  <w:style w:type="paragraph" w:customStyle="1" w:styleId="69">
    <w:name w:val="Char1"/>
    <w:basedOn w:val="1"/>
    <w:qFormat/>
    <w:uiPriority w:val="0"/>
    <w:pPr>
      <w:keepNext/>
      <w:keepLines/>
      <w:tabs>
        <w:tab w:val="left" w:pos="2160"/>
      </w:tabs>
      <w:adjustRightInd w:val="0"/>
      <w:snapToGrid w:val="0"/>
      <w:spacing w:before="120" w:after="120" w:line="360" w:lineRule="auto"/>
      <w:ind w:left="2160" w:hanging="420"/>
      <w:outlineLvl w:val="3"/>
    </w:pPr>
    <w:rPr>
      <w:rFonts w:eastAsia="宋体" w:cs="Times New Roman"/>
      <w:sz w:val="21"/>
      <w:szCs w:val="24"/>
    </w:rPr>
  </w:style>
  <w:style w:type="character" w:customStyle="1" w:styleId="70">
    <w:name w:val="postbody1"/>
    <w:basedOn w:val="35"/>
    <w:qFormat/>
    <w:uiPriority w:val="0"/>
    <w:rPr>
      <w:sz w:val="21"/>
      <w:szCs w:val="21"/>
    </w:rPr>
  </w:style>
  <w:style w:type="paragraph" w:customStyle="1" w:styleId="71">
    <w:name w:val="表格"/>
    <w:qFormat/>
    <w:uiPriority w:val="0"/>
    <w:pPr>
      <w:spacing w:line="380" w:lineRule="exact"/>
      <w:jc w:val="center"/>
    </w:pPr>
    <w:rPr>
      <w:rFonts w:ascii="宋体" w:hAnsi="宋体" w:eastAsia="宋体" w:cs="Times New Roman"/>
      <w:snapToGrid w:val="0"/>
      <w:sz w:val="21"/>
      <w:lang w:val="en-US" w:eastAsia="zh-CN" w:bidi="ar-SA"/>
    </w:rPr>
  </w:style>
  <w:style w:type="paragraph" w:customStyle="1" w:styleId="72">
    <w:name w:val="表格图文内容"/>
    <w:basedOn w:val="1"/>
    <w:qFormat/>
    <w:uiPriority w:val="0"/>
    <w:pPr>
      <w:widowControl/>
      <w:jc w:val="center"/>
    </w:pPr>
    <w:rPr>
      <w:rFonts w:eastAsia="宋体" w:cs="宋体"/>
      <w:kern w:val="0"/>
      <w:sz w:val="21"/>
      <w:szCs w:val="24"/>
    </w:rPr>
  </w:style>
  <w:style w:type="character" w:customStyle="1" w:styleId="73">
    <w:name w:val="oblog_text"/>
    <w:basedOn w:val="35"/>
    <w:qFormat/>
    <w:uiPriority w:val="0"/>
  </w:style>
  <w:style w:type="character" w:customStyle="1" w:styleId="74">
    <w:name w:val="正文文本 字符"/>
    <w:basedOn w:val="35"/>
    <w:link w:val="2"/>
    <w:semiHidden/>
    <w:qFormat/>
    <w:uiPriority w:val="99"/>
    <w:rPr>
      <w:rFonts w:ascii="Times New Roman" w:hAnsi="Times New Roman"/>
      <w:kern w:val="2"/>
      <w:sz w:val="24"/>
      <w:szCs w:val="21"/>
    </w:rPr>
  </w:style>
  <w:style w:type="character" w:customStyle="1" w:styleId="75">
    <w:name w:val="正文文本首行缩进 字符"/>
    <w:basedOn w:val="74"/>
    <w:link w:val="31"/>
    <w:qFormat/>
    <w:uiPriority w:val="99"/>
    <w:rPr>
      <w:rFonts w:ascii="Times New Roman" w:hAnsi="Times New Roman"/>
      <w:kern w:val="2"/>
      <w:sz w:val="24"/>
      <w:szCs w:val="21"/>
    </w:rPr>
  </w:style>
  <w:style w:type="character" w:customStyle="1" w:styleId="76">
    <w:name w:val="脚注文本 字符"/>
    <w:basedOn w:val="35"/>
    <w:link w:val="27"/>
    <w:semiHidden/>
    <w:qFormat/>
    <w:uiPriority w:val="99"/>
    <w:rPr>
      <w:rFonts w:ascii="Times New Roman" w:hAnsi="Times New Roman"/>
      <w:kern w:val="2"/>
      <w:sz w:val="18"/>
      <w:szCs w:val="18"/>
    </w:rPr>
  </w:style>
  <w:style w:type="character" w:customStyle="1" w:styleId="77">
    <w:name w:val="表格文字 Char"/>
    <w:link w:val="78"/>
    <w:qFormat/>
    <w:locked/>
    <w:uiPriority w:val="0"/>
    <w:rPr>
      <w:rFonts w:ascii="宋体" w:hAnsi="宋体" w:eastAsia="宋体"/>
      <w:kern w:val="2"/>
      <w:sz w:val="21"/>
      <w:szCs w:val="18"/>
    </w:rPr>
  </w:style>
  <w:style w:type="paragraph" w:customStyle="1" w:styleId="78">
    <w:name w:val="表格文字"/>
    <w:basedOn w:val="1"/>
    <w:link w:val="77"/>
    <w:qFormat/>
    <w:uiPriority w:val="0"/>
    <w:pPr>
      <w:adjustRightInd w:val="0"/>
      <w:snapToGrid w:val="0"/>
      <w:jc w:val="center"/>
    </w:pPr>
    <w:rPr>
      <w:rFonts w:ascii="宋体" w:hAnsi="宋体" w:eastAsia="宋体"/>
      <w:sz w:val="21"/>
      <w:szCs w:val="18"/>
    </w:rPr>
  </w:style>
  <w:style w:type="paragraph" w:customStyle="1" w:styleId="79">
    <w:name w:val="正文首行缩进 2 + Times New Roman"/>
    <w:basedOn w:val="1"/>
    <w:link w:val="94"/>
    <w:qFormat/>
    <w:uiPriority w:val="0"/>
    <w:pPr>
      <w:tabs>
        <w:tab w:val="left" w:pos="0"/>
        <w:tab w:val="left" w:pos="870"/>
        <w:tab w:val="left" w:pos="3150"/>
      </w:tabs>
      <w:autoSpaceDE w:val="0"/>
      <w:autoSpaceDN w:val="0"/>
      <w:spacing w:line="360" w:lineRule="auto"/>
      <w:ind w:firstLine="480" w:firstLineChars="200"/>
    </w:pPr>
    <w:rPr>
      <w:kern w:val="0"/>
    </w:rPr>
  </w:style>
  <w:style w:type="paragraph" w:customStyle="1" w:styleId="80">
    <w:name w:val="正文5"/>
    <w:qFormat/>
    <w:uiPriority w:val="0"/>
    <w:pPr>
      <w:spacing w:line="360" w:lineRule="auto"/>
      <w:ind w:firstLine="200" w:firstLineChars="200"/>
    </w:pPr>
    <w:rPr>
      <w:rFonts w:cs="宋体" w:asciiTheme="minorHAnsi" w:hAnsiTheme="minorHAnsi" w:eastAsiaTheme="minorEastAsia"/>
      <w:sz w:val="24"/>
      <w:szCs w:val="22"/>
      <w:lang w:val="en-US" w:eastAsia="zh-CN" w:bidi="ar-SA"/>
    </w:rPr>
  </w:style>
  <w:style w:type="paragraph" w:customStyle="1" w:styleId="81">
    <w:name w:val="表头 Char Char"/>
    <w:basedOn w:val="1"/>
    <w:qFormat/>
    <w:uiPriority w:val="0"/>
    <w:pPr>
      <w:tabs>
        <w:tab w:val="left" w:pos="1021"/>
      </w:tabs>
      <w:jc w:val="center"/>
    </w:pPr>
    <w:rPr>
      <w:rFonts w:eastAsia="宋体" w:cs="Times New Roman"/>
      <w:b/>
      <w:bCs/>
      <w:color w:val="000000"/>
      <w:kern w:val="24"/>
      <w:sz w:val="21"/>
    </w:rPr>
  </w:style>
  <w:style w:type="paragraph" w:customStyle="1" w:styleId="82">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character" w:customStyle="1" w:styleId="83">
    <w:name w:val="题注 字符"/>
    <w:link w:val="15"/>
    <w:qFormat/>
    <w:uiPriority w:val="99"/>
    <w:rPr>
      <w:rFonts w:ascii="Times New Roman" w:hAnsi="Times New Roman" w:eastAsia="宋体" w:cstheme="majorBidi"/>
      <w:b/>
      <w:kern w:val="2"/>
      <w:sz w:val="24"/>
    </w:rPr>
  </w:style>
  <w:style w:type="character" w:customStyle="1" w:styleId="84">
    <w:name w:val="表文字 Char"/>
    <w:basedOn w:val="35"/>
    <w:link w:val="85"/>
    <w:qFormat/>
    <w:uiPriority w:val="0"/>
    <w:rPr>
      <w:kern w:val="10"/>
      <w:sz w:val="21"/>
    </w:rPr>
  </w:style>
  <w:style w:type="paragraph" w:customStyle="1" w:styleId="85">
    <w:name w:val="表文字"/>
    <w:basedOn w:val="1"/>
    <w:link w:val="84"/>
    <w:qFormat/>
    <w:uiPriority w:val="0"/>
    <w:pPr>
      <w:jc w:val="center"/>
    </w:pPr>
    <w:rPr>
      <w:rFonts w:asciiTheme="minorHAnsi" w:hAnsiTheme="minorHAnsi"/>
      <w:kern w:val="10"/>
      <w:sz w:val="21"/>
      <w:szCs w:val="20"/>
    </w:rPr>
  </w:style>
  <w:style w:type="paragraph" w:customStyle="1" w:styleId="86">
    <w:name w:val="环评正文"/>
    <w:basedOn w:val="1"/>
    <w:qFormat/>
    <w:uiPriority w:val="0"/>
    <w:pPr>
      <w:spacing w:beforeLines="30"/>
      <w:ind w:firstLine="480" w:firstLineChars="200"/>
    </w:pPr>
    <w:rPr>
      <w:rFonts w:ascii="Tahoma" w:hAnsi="Tahoma" w:eastAsia="宋体" w:cs="Tahoma"/>
      <w:kern w:val="0"/>
      <w:szCs w:val="20"/>
    </w:rPr>
  </w:style>
  <w:style w:type="character" w:customStyle="1" w:styleId="87">
    <w:name w:val="纯文本 Char1"/>
    <w:basedOn w:val="35"/>
    <w:qFormat/>
    <w:uiPriority w:val="0"/>
    <w:rPr>
      <w:rFonts w:ascii="宋体" w:hAnsi="Courier New"/>
      <w:kern w:val="2"/>
      <w:sz w:val="28"/>
    </w:rPr>
  </w:style>
  <w:style w:type="character" w:customStyle="1" w:styleId="88">
    <w:name w:val="表格字体 Char"/>
    <w:link w:val="89"/>
    <w:qFormat/>
    <w:uiPriority w:val="0"/>
    <w:rPr>
      <w:rFonts w:ascii="Arial" w:hAnsi="Arial"/>
      <w:kern w:val="2"/>
      <w:sz w:val="21"/>
    </w:rPr>
  </w:style>
  <w:style w:type="paragraph" w:customStyle="1" w:styleId="89">
    <w:name w:val="表格字体"/>
    <w:basedOn w:val="1"/>
    <w:link w:val="88"/>
    <w:qFormat/>
    <w:uiPriority w:val="0"/>
    <w:pPr>
      <w:jc w:val="center"/>
    </w:pPr>
    <w:rPr>
      <w:rFonts w:ascii="Arial" w:hAnsi="Arial"/>
      <w:sz w:val="21"/>
      <w:szCs w:val="20"/>
    </w:rPr>
  </w:style>
  <w:style w:type="paragraph" w:customStyle="1" w:styleId="90">
    <w:name w:val="环评表内容"/>
    <w:basedOn w:val="1"/>
    <w:qFormat/>
    <w:uiPriority w:val="0"/>
    <w:pPr>
      <w:spacing w:line="260" w:lineRule="exact"/>
      <w:jc w:val="center"/>
    </w:pPr>
    <w:rPr>
      <w:rFonts w:ascii="Tahoma" w:hAnsi="Tahoma" w:eastAsia="宋体" w:cs="Tahoma"/>
      <w:sz w:val="21"/>
      <w:szCs w:val="20"/>
    </w:rPr>
  </w:style>
  <w:style w:type="paragraph" w:customStyle="1" w:styleId="91">
    <w:name w:val="p0"/>
    <w:basedOn w:val="1"/>
    <w:qFormat/>
    <w:uiPriority w:val="0"/>
    <w:pPr>
      <w:widowControl/>
    </w:pPr>
    <w:rPr>
      <w:rFonts w:eastAsia="宋体" w:cs="Times New Roman"/>
      <w:kern w:val="0"/>
      <w:sz w:val="21"/>
    </w:rPr>
  </w:style>
  <w:style w:type="character" w:customStyle="1" w:styleId="92">
    <w:name w:val="称呼 字符"/>
    <w:basedOn w:val="35"/>
    <w:link w:val="18"/>
    <w:qFormat/>
    <w:uiPriority w:val="0"/>
    <w:rPr>
      <w:kern w:val="2"/>
      <w:sz w:val="21"/>
      <w:szCs w:val="24"/>
    </w:rPr>
  </w:style>
  <w:style w:type="character" w:customStyle="1" w:styleId="93">
    <w:name w:val="称呼 Char1"/>
    <w:basedOn w:val="35"/>
    <w:semiHidden/>
    <w:qFormat/>
    <w:uiPriority w:val="99"/>
    <w:rPr>
      <w:rFonts w:ascii="Times New Roman" w:hAnsi="Times New Roman"/>
      <w:kern w:val="2"/>
      <w:sz w:val="24"/>
      <w:szCs w:val="21"/>
    </w:rPr>
  </w:style>
  <w:style w:type="character" w:customStyle="1" w:styleId="94">
    <w:name w:val="正文首行缩进 2 + Times New Roman Char"/>
    <w:link w:val="79"/>
    <w:qFormat/>
    <w:uiPriority w:val="0"/>
    <w:rPr>
      <w:rFonts w:ascii="Times New Roman" w:hAnsi="Times New Roman"/>
      <w:sz w:val="24"/>
      <w:szCs w:val="21"/>
    </w:rPr>
  </w:style>
  <w:style w:type="character" w:customStyle="1" w:styleId="95">
    <w:name w:val="批注文字 字符"/>
    <w:basedOn w:val="35"/>
    <w:link w:val="17"/>
    <w:qFormat/>
    <w:uiPriority w:val="0"/>
    <w:rPr>
      <w:kern w:val="2"/>
      <w:sz w:val="21"/>
      <w:szCs w:val="24"/>
    </w:rPr>
  </w:style>
  <w:style w:type="character" w:customStyle="1" w:styleId="96">
    <w:name w:val="批注文字 Char1"/>
    <w:basedOn w:val="35"/>
    <w:qFormat/>
    <w:uiPriority w:val="0"/>
    <w:rPr>
      <w:rFonts w:ascii="Times New Roman" w:hAnsi="Times New Roman"/>
      <w:kern w:val="2"/>
      <w:sz w:val="24"/>
      <w:szCs w:val="21"/>
    </w:rPr>
  </w:style>
  <w:style w:type="paragraph" w:customStyle="1" w:styleId="97">
    <w:name w:val="样式 段落 + 两端对齐"/>
    <w:basedOn w:val="1"/>
    <w:next w:val="1"/>
    <w:qFormat/>
    <w:uiPriority w:val="0"/>
    <w:rPr>
      <w:rFonts w:eastAsia="宋体" w:cs="Times New Roman"/>
      <w:sz w:val="21"/>
      <w:szCs w:val="24"/>
    </w:rPr>
  </w:style>
  <w:style w:type="character" w:customStyle="1" w:styleId="98">
    <w:name w:val="正文缩进 字符"/>
    <w:basedOn w:val="35"/>
    <w:link w:val="14"/>
    <w:qFormat/>
    <w:locked/>
    <w:uiPriority w:val="0"/>
    <w:rPr>
      <w:rFonts w:ascii="Times New Roman" w:hAnsi="Times New Roman" w:eastAsia="宋体" w:cs="Times New Roman"/>
      <w:kern w:val="2"/>
      <w:sz w:val="21"/>
      <w:szCs w:val="24"/>
    </w:rPr>
  </w:style>
  <w:style w:type="paragraph" w:customStyle="1" w:styleId="99">
    <w:name w:val="标题四"/>
    <w:basedOn w:val="1"/>
    <w:next w:val="9"/>
    <w:qFormat/>
    <w:uiPriority w:val="0"/>
    <w:pPr>
      <w:adjustRightInd w:val="0"/>
      <w:snapToGrid w:val="0"/>
      <w:spacing w:beforeLines="50" w:line="360" w:lineRule="auto"/>
      <w:ind w:firstLine="200" w:firstLineChars="200"/>
      <w:jc w:val="left"/>
      <w:outlineLvl w:val="3"/>
    </w:pPr>
    <w:rPr>
      <w:rFonts w:eastAsia="宋体" w:cs="Times New Roman"/>
      <w:b/>
      <w:szCs w:val="24"/>
    </w:rPr>
  </w:style>
  <w:style w:type="character" w:customStyle="1" w:styleId="100">
    <w:name w:val="批注主题 字符"/>
    <w:basedOn w:val="95"/>
    <w:link w:val="30"/>
    <w:semiHidden/>
    <w:qFormat/>
    <w:uiPriority w:val="99"/>
    <w:rPr>
      <w:rFonts w:ascii="Times New Roman" w:hAnsi="Times New Roman"/>
      <w:b/>
      <w:bCs/>
      <w:kern w:val="2"/>
      <w:sz w:val="24"/>
      <w:szCs w:val="21"/>
    </w:rPr>
  </w:style>
  <w:style w:type="character" w:customStyle="1" w:styleId="101">
    <w:name w:val="中气表头 Char"/>
    <w:link w:val="102"/>
    <w:qFormat/>
    <w:locked/>
    <w:uiPriority w:val="0"/>
    <w:rPr>
      <w:rFonts w:ascii="黑体" w:eastAsia="黑体"/>
      <w:b/>
      <w:kern w:val="2"/>
      <w:sz w:val="21"/>
      <w:szCs w:val="21"/>
    </w:rPr>
  </w:style>
  <w:style w:type="paragraph" w:customStyle="1" w:styleId="102">
    <w:name w:val="中气表头"/>
    <w:basedOn w:val="1"/>
    <w:link w:val="101"/>
    <w:qFormat/>
    <w:uiPriority w:val="0"/>
    <w:pPr>
      <w:jc w:val="center"/>
    </w:pPr>
    <w:rPr>
      <w:rFonts w:ascii="黑体" w:eastAsia="黑体" w:hAnsiTheme="minorHAnsi"/>
      <w:b/>
      <w:sz w:val="21"/>
    </w:rPr>
  </w:style>
  <w:style w:type="character" w:customStyle="1" w:styleId="103">
    <w:name w:val="表字体 Char"/>
    <w:link w:val="104"/>
    <w:qFormat/>
    <w:locked/>
    <w:uiPriority w:val="0"/>
    <w:rPr>
      <w:kern w:val="2"/>
      <w:sz w:val="21"/>
      <w:szCs w:val="24"/>
    </w:rPr>
  </w:style>
  <w:style w:type="paragraph" w:customStyle="1" w:styleId="104">
    <w:name w:val="表字体"/>
    <w:basedOn w:val="1"/>
    <w:link w:val="103"/>
    <w:qFormat/>
    <w:uiPriority w:val="0"/>
    <w:pPr>
      <w:jc w:val="center"/>
    </w:pPr>
    <w:rPr>
      <w:rFonts w:asciiTheme="minorHAnsi" w:hAnsiTheme="minorHAnsi"/>
      <w:sz w:val="21"/>
      <w:szCs w:val="24"/>
    </w:rPr>
  </w:style>
  <w:style w:type="paragraph" w:styleId="105">
    <w:name w:val="List Paragraph"/>
    <w:basedOn w:val="1"/>
    <w:qFormat/>
    <w:uiPriority w:val="0"/>
    <w:pPr>
      <w:ind w:firstLine="420" w:firstLineChars="200"/>
    </w:pPr>
  </w:style>
  <w:style w:type="paragraph" w:customStyle="1" w:styleId="106">
    <w:name w:val="Char Char Char Char Char Char Char"/>
    <w:basedOn w:val="1"/>
    <w:next w:val="4"/>
    <w:qFormat/>
    <w:uiPriority w:val="0"/>
    <w:pPr>
      <w:jc w:val="left"/>
    </w:pPr>
    <w:rPr>
      <w:rFonts w:eastAsia="宋体" w:cs="Times New Roman"/>
      <w:sz w:val="21"/>
      <w:szCs w:val="24"/>
    </w:rPr>
  </w:style>
  <w:style w:type="character" w:customStyle="1" w:styleId="107">
    <w:name w:val="正文文本首行缩进 2 字符"/>
    <w:basedOn w:val="56"/>
    <w:link w:val="32"/>
    <w:semiHidden/>
    <w:qFormat/>
    <w:uiPriority w:val="99"/>
    <w:rPr>
      <w:rFonts w:ascii="Times New Roman" w:hAnsi="Times New Roman" w:eastAsia="宋体" w:cs="Times New Roman"/>
      <w:color w:val="FF6600"/>
      <w:kern w:val="2"/>
      <w:sz w:val="24"/>
      <w:szCs w:val="21"/>
    </w:rPr>
  </w:style>
  <w:style w:type="character" w:customStyle="1" w:styleId="108">
    <w:name w:val="15"/>
    <w:basedOn w:val="35"/>
    <w:qFormat/>
    <w:uiPriority w:val="0"/>
    <w:rPr>
      <w:rFonts w:hint="eastAsia" w:ascii="宋体" w:hAnsi="宋体" w:eastAsia="宋体"/>
      <w:color w:val="000000"/>
      <w:sz w:val="22"/>
      <w:szCs w:val="22"/>
    </w:rPr>
  </w:style>
  <w:style w:type="character" w:customStyle="1" w:styleId="109">
    <w:name w:val="正文文本缩进 2 字符"/>
    <w:basedOn w:val="35"/>
    <w:link w:val="22"/>
    <w:semiHidden/>
    <w:qFormat/>
    <w:uiPriority w:val="99"/>
    <w:rPr>
      <w:rFonts w:ascii="Times New Roman" w:hAnsi="Times New Roman"/>
      <w:kern w:val="2"/>
      <w:sz w:val="24"/>
      <w:szCs w:val="21"/>
    </w:rPr>
  </w:style>
  <w:style w:type="paragraph" w:customStyle="1" w:styleId="110">
    <w:name w:val="表格 32"/>
    <w:basedOn w:val="1"/>
    <w:qFormat/>
    <w:uiPriority w:val="0"/>
    <w:pPr>
      <w:autoSpaceDE w:val="0"/>
      <w:autoSpaceDN w:val="0"/>
      <w:adjustRightInd w:val="0"/>
      <w:spacing w:line="240" w:lineRule="atLeast"/>
      <w:jc w:val="center"/>
      <w:textAlignment w:val="baseline"/>
    </w:pPr>
    <w:rPr>
      <w:rFonts w:ascii="Calibri" w:hAnsi="Calibri" w:eastAsia="宋体" w:cs="Calibri"/>
      <w:kern w:val="0"/>
      <w:szCs w:val="24"/>
    </w:rPr>
  </w:style>
  <w:style w:type="paragraph" w:customStyle="1" w:styleId="111">
    <w:name w:val="样式 表格 32 + 首行缩进:  2 字符"/>
    <w:basedOn w:val="110"/>
    <w:qFormat/>
    <w:uiPriority w:val="0"/>
    <w:pPr>
      <w:spacing w:line="0" w:lineRule="atLeast"/>
      <w:textAlignment w:val="auto"/>
    </w:pPr>
    <w:rPr>
      <w:rFonts w:ascii="Times New Roman" w:hAnsi="Times New Roman" w:cs="Times New Roman"/>
      <w:sz w:val="20"/>
      <w:szCs w:val="20"/>
    </w:rPr>
  </w:style>
  <w:style w:type="character" w:customStyle="1" w:styleId="112">
    <w:name w:val="正文1 Char"/>
    <w:link w:val="113"/>
    <w:qFormat/>
    <w:uiPriority w:val="0"/>
    <w:rPr>
      <w:kern w:val="2"/>
      <w:sz w:val="24"/>
    </w:rPr>
  </w:style>
  <w:style w:type="paragraph" w:customStyle="1" w:styleId="113">
    <w:name w:val="正文1"/>
    <w:basedOn w:val="1"/>
    <w:link w:val="112"/>
    <w:qFormat/>
    <w:uiPriority w:val="0"/>
    <w:pPr>
      <w:adjustRightInd w:val="0"/>
      <w:snapToGrid w:val="0"/>
      <w:spacing w:before="60" w:line="460" w:lineRule="exact"/>
      <w:ind w:firstLine="200" w:firstLineChars="200"/>
    </w:pPr>
    <w:rPr>
      <w:rFonts w:asciiTheme="minorHAnsi" w:hAnsiTheme="minorHAnsi"/>
      <w:szCs w:val="20"/>
    </w:rPr>
  </w:style>
  <w:style w:type="character" w:customStyle="1" w:styleId="114">
    <w:name w:val="正文修改 Char Char"/>
    <w:link w:val="115"/>
    <w:qFormat/>
    <w:uiPriority w:val="0"/>
    <w:rPr>
      <w:rFonts w:ascii="宋体" w:cs="宋体"/>
      <w:kern w:val="2"/>
      <w:sz w:val="24"/>
      <w:szCs w:val="24"/>
    </w:rPr>
  </w:style>
  <w:style w:type="paragraph" w:customStyle="1" w:styleId="115">
    <w:name w:val="正文修改"/>
    <w:basedOn w:val="1"/>
    <w:link w:val="114"/>
    <w:qFormat/>
    <w:uiPriority w:val="0"/>
    <w:pPr>
      <w:spacing w:line="360" w:lineRule="auto"/>
      <w:ind w:firstLine="480" w:firstLineChars="200"/>
    </w:pPr>
    <w:rPr>
      <w:rFonts w:ascii="宋体" w:cs="宋体" w:hAnsiTheme="minorHAnsi"/>
      <w:szCs w:val="24"/>
    </w:rPr>
  </w:style>
  <w:style w:type="character" w:customStyle="1" w:styleId="116">
    <w:name w:val="君山正文 Char"/>
    <w:link w:val="117"/>
    <w:qFormat/>
    <w:uiPriority w:val="0"/>
    <w:rPr>
      <w:snapToGrid w:val="0"/>
      <w:szCs w:val="24"/>
    </w:rPr>
  </w:style>
  <w:style w:type="paragraph" w:customStyle="1" w:styleId="117">
    <w:name w:val="君山正文"/>
    <w:basedOn w:val="1"/>
    <w:link w:val="116"/>
    <w:qFormat/>
    <w:uiPriority w:val="0"/>
    <w:pPr>
      <w:widowControl/>
      <w:tabs>
        <w:tab w:val="left" w:pos="0"/>
      </w:tabs>
      <w:spacing w:line="360" w:lineRule="auto"/>
      <w:ind w:firstLine="1040" w:firstLineChars="200"/>
    </w:pPr>
    <w:rPr>
      <w:rFonts w:asciiTheme="minorHAnsi" w:hAnsiTheme="minorHAnsi"/>
      <w:snapToGrid w:val="0"/>
      <w:kern w:val="0"/>
      <w:sz w:val="20"/>
      <w:szCs w:val="24"/>
    </w:rPr>
  </w:style>
  <w:style w:type="paragraph" w:customStyle="1" w:styleId="118">
    <w:name w:val="p15"/>
    <w:basedOn w:val="1"/>
    <w:qFormat/>
    <w:uiPriority w:val="0"/>
    <w:pPr>
      <w:widowControl/>
      <w:spacing w:line="360" w:lineRule="auto"/>
      <w:ind w:firstLine="420"/>
    </w:pPr>
    <w:rPr>
      <w:rFonts w:eastAsia="宋体" w:cs="Times New Roman"/>
      <w:kern w:val="0"/>
      <w:szCs w:val="24"/>
    </w:rPr>
  </w:style>
  <w:style w:type="character" w:customStyle="1" w:styleId="119">
    <w:name w:val="正文何黎 Char1"/>
    <w:link w:val="120"/>
    <w:qFormat/>
    <w:uiPriority w:val="0"/>
    <w:rPr>
      <w:rFonts w:hAnsi="宋体" w:cs="宋体"/>
      <w:sz w:val="24"/>
      <w:szCs w:val="24"/>
    </w:rPr>
  </w:style>
  <w:style w:type="paragraph" w:customStyle="1" w:styleId="120">
    <w:name w:val="正文何黎"/>
    <w:basedOn w:val="1"/>
    <w:link w:val="119"/>
    <w:qFormat/>
    <w:uiPriority w:val="0"/>
    <w:pPr>
      <w:spacing w:line="360" w:lineRule="auto"/>
      <w:ind w:firstLine="480" w:firstLineChars="200"/>
    </w:pPr>
    <w:rPr>
      <w:rFonts w:hAnsi="宋体" w:cs="宋体" w:asciiTheme="minorHAnsi"/>
      <w:kern w:val="0"/>
      <w:szCs w:val="24"/>
    </w:rPr>
  </w:style>
  <w:style w:type="paragraph" w:customStyle="1" w:styleId="121">
    <w:name w:val="表 图 内容"/>
    <w:basedOn w:val="1"/>
    <w:qFormat/>
    <w:uiPriority w:val="0"/>
    <w:pPr>
      <w:jc w:val="center"/>
    </w:pPr>
    <w:rPr>
      <w:rFonts w:ascii="Calibri" w:hAnsi="Calibri" w:eastAsia="宋体" w:cs="Times New Roman"/>
      <w:color w:val="000000"/>
      <w:sz w:val="21"/>
      <w:szCs w:val="24"/>
    </w:rPr>
  </w:style>
  <w:style w:type="character" w:customStyle="1" w:styleId="122">
    <w:name w:val="表文字 Char Char"/>
    <w:qFormat/>
    <w:uiPriority w:val="0"/>
    <w:rPr>
      <w:rFonts w:ascii="宋体" w:hAnsi="宋体" w:cs="新宋体"/>
      <w:bCs/>
      <w:sz w:val="21"/>
      <w:szCs w:val="21"/>
    </w:rPr>
  </w:style>
  <w:style w:type="paragraph" w:customStyle="1" w:styleId="123">
    <w:name w:val="表图 内容 五号"/>
    <w:basedOn w:val="1"/>
    <w:qFormat/>
    <w:uiPriority w:val="0"/>
    <w:pPr>
      <w:jc w:val="center"/>
    </w:pPr>
    <w:rPr>
      <w:rFonts w:ascii="Calibri" w:hAnsi="Calibri" w:eastAsia="宋体" w:cs="Times New Roman"/>
      <w:color w:val="000000"/>
      <w:sz w:val="21"/>
      <w:szCs w:val="18"/>
    </w:rPr>
  </w:style>
  <w:style w:type="paragraph" w:customStyle="1" w:styleId="124">
    <w:name w:val="表格内格式"/>
    <w:basedOn w:val="1"/>
    <w:next w:val="1"/>
    <w:qFormat/>
    <w:uiPriority w:val="0"/>
    <w:pPr>
      <w:widowControl/>
      <w:spacing w:line="360" w:lineRule="exact"/>
      <w:jc w:val="center"/>
    </w:pPr>
    <w:rPr>
      <w:rFonts w:eastAsia="宋体" w:cs="Times New Roman"/>
      <w:kern w:val="0"/>
      <w:sz w:val="21"/>
      <w:szCs w:val="20"/>
    </w:rPr>
  </w:style>
  <w:style w:type="paragraph" w:customStyle="1" w:styleId="125">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26">
    <w:name w:val="样式 文本正文 + 首行缩进:  2 字符"/>
    <w:basedOn w:val="1"/>
    <w:qFormat/>
    <w:uiPriority w:val="0"/>
    <w:pPr>
      <w:spacing w:line="360" w:lineRule="auto"/>
      <w:ind w:firstLine="200" w:firstLineChars="200"/>
    </w:pPr>
    <w:rPr>
      <w:rFonts w:eastAsia="宋体" w:cs="宋体"/>
      <w:szCs w:val="24"/>
    </w:rPr>
  </w:style>
  <w:style w:type="paragraph" w:customStyle="1" w:styleId="127">
    <w:name w:val="文本"/>
    <w:basedOn w:val="1"/>
    <w:qFormat/>
    <w:uiPriority w:val="0"/>
    <w:pPr>
      <w:keepNext/>
      <w:adjustRightInd w:val="0"/>
      <w:snapToGrid w:val="0"/>
      <w:spacing w:line="360" w:lineRule="auto"/>
      <w:ind w:firstLine="480" w:firstLineChars="200"/>
    </w:pPr>
    <w:rPr>
      <w:rFonts w:cs="Times New Roman" w:hAnsiTheme="minorEastAsia"/>
      <w:szCs w:val="24"/>
    </w:rPr>
  </w:style>
  <w:style w:type="character" w:customStyle="1" w:styleId="128">
    <w:name w:val="表格文字 Char Char"/>
    <w:qFormat/>
    <w:uiPriority w:val="0"/>
    <w:rPr>
      <w:rFonts w:eastAsia="宋体"/>
    </w:rPr>
  </w:style>
  <w:style w:type="character" w:styleId="129">
    <w:name w:val="Placeholder Text"/>
    <w:basedOn w:val="35"/>
    <w:semiHidden/>
    <w:qFormat/>
    <w:uiPriority w:val="99"/>
    <w:rPr>
      <w:color w:val="808080"/>
    </w:rPr>
  </w:style>
  <w:style w:type="character" w:customStyle="1" w:styleId="130">
    <w:name w:val="正文001 Char Char"/>
    <w:link w:val="131"/>
    <w:qFormat/>
    <w:uiPriority w:val="0"/>
    <w:rPr>
      <w:sz w:val="24"/>
    </w:rPr>
  </w:style>
  <w:style w:type="paragraph" w:customStyle="1" w:styleId="131">
    <w:name w:val="正文001"/>
    <w:basedOn w:val="1"/>
    <w:link w:val="130"/>
    <w:qFormat/>
    <w:uiPriority w:val="0"/>
    <w:pPr>
      <w:adjustRightInd w:val="0"/>
      <w:snapToGrid w:val="0"/>
      <w:spacing w:before="60" w:line="420" w:lineRule="exact"/>
      <w:ind w:firstLine="482" w:firstLineChars="200"/>
    </w:pPr>
    <w:rPr>
      <w:rFonts w:asciiTheme="minorHAnsi" w:hAnsiTheme="minorHAnsi"/>
      <w:kern w:val="0"/>
      <w:szCs w:val="20"/>
    </w:rPr>
  </w:style>
  <w:style w:type="paragraph" w:customStyle="1" w:styleId="132">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33">
    <w:name w:val="正文（YHY-GDB)"/>
    <w:basedOn w:val="1"/>
    <w:qFormat/>
    <w:uiPriority w:val="0"/>
    <w:pPr>
      <w:spacing w:beforeLines="50" w:afterLines="50" w:line="360" w:lineRule="auto"/>
      <w:ind w:firstLine="200" w:firstLineChars="200"/>
    </w:pPr>
    <w:rPr>
      <w:rFonts w:eastAsia="宋体" w:cs="Times New Roman"/>
      <w:szCs w:val="24"/>
    </w:rPr>
  </w:style>
  <w:style w:type="paragraph" w:customStyle="1" w:styleId="134">
    <w:name w:val="正文4"/>
    <w:qFormat/>
    <w:uiPriority w:val="0"/>
    <w:pPr>
      <w:jc w:val="both"/>
    </w:pPr>
    <w:rPr>
      <w:rFonts w:ascii="宋体" w:hAnsi="宋体" w:eastAsia="宋体" w:cs="宋体"/>
      <w:kern w:val="2"/>
      <w:sz w:val="21"/>
      <w:szCs w:val="21"/>
      <w:lang w:val="en-US" w:eastAsia="zh-CN" w:bidi="ar-SA"/>
    </w:rPr>
  </w:style>
  <w:style w:type="paragraph" w:customStyle="1" w:styleId="135">
    <w:name w:val="Char3"/>
    <w:basedOn w:val="1"/>
    <w:qFormat/>
    <w:uiPriority w:val="0"/>
    <w:rPr>
      <w:rFonts w:eastAsia="黑体" w:cs="Times New Roman"/>
      <w:b/>
      <w:bCs/>
      <w:snapToGrid w:val="0"/>
      <w:kern w:val="0"/>
      <w:szCs w:val="24"/>
    </w:rPr>
  </w:style>
  <w:style w:type="paragraph" w:customStyle="1" w:styleId="136">
    <w:name w:val="Body Text 22"/>
    <w:qFormat/>
    <w:uiPriority w:val="0"/>
    <w:pPr>
      <w:widowControl w:val="0"/>
      <w:adjustRightInd w:val="0"/>
      <w:spacing w:line="440" w:lineRule="atLeast"/>
      <w:ind w:firstLine="480"/>
      <w:jc w:val="both"/>
      <w:textAlignment w:val="baseline"/>
    </w:pPr>
    <w:rPr>
      <w:rFonts w:ascii="Calibri" w:hAnsi="Calibri" w:eastAsia="仿宋_GB2312" w:cs="Times New Roman"/>
      <w:kern w:val="2"/>
      <w:sz w:val="24"/>
      <w:lang w:val="en-US" w:eastAsia="zh-CN" w:bidi="ar-SA"/>
    </w:rPr>
  </w:style>
  <w:style w:type="paragraph" w:customStyle="1" w:styleId="137">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138">
    <w:name w:val="正文文本 (2)"/>
    <w:basedOn w:val="1"/>
    <w:qFormat/>
    <w:uiPriority w:val="0"/>
    <w:pPr>
      <w:shd w:val="clear" w:color="auto" w:fill="FFFFFF"/>
      <w:jc w:val="left"/>
    </w:pPr>
    <w:rPr>
      <w:rFonts w:ascii="Calibri" w:hAnsi="Calibri" w:eastAsia="Times New Roman" w:cs="宋体"/>
      <w:kern w:val="0"/>
      <w:sz w:val="20"/>
      <w:szCs w:val="20"/>
    </w:rPr>
  </w:style>
  <w:style w:type="paragraph" w:customStyle="1" w:styleId="139">
    <w:name w:val="Table Paragraph"/>
    <w:basedOn w:val="1"/>
    <w:qFormat/>
    <w:uiPriority w:val="1"/>
    <w:pPr>
      <w:autoSpaceDE w:val="0"/>
      <w:autoSpaceDN w:val="0"/>
      <w:jc w:val="left"/>
    </w:pPr>
    <w:rPr>
      <w:rFonts w:ascii="宋体" w:hAnsi="宋体" w:eastAsia="宋体" w:cs="宋体"/>
      <w:kern w:val="0"/>
      <w:sz w:val="22"/>
      <w:szCs w:val="22"/>
    </w:rPr>
  </w:style>
  <w:style w:type="paragraph" w:customStyle="1" w:styleId="140">
    <w:name w:val="正文7"/>
    <w:qFormat/>
    <w:uiPriority w:val="0"/>
    <w:pPr>
      <w:jc w:val="both"/>
    </w:pPr>
    <w:rPr>
      <w:rFonts w:ascii="Calibri" w:hAnsi="Calibri" w:eastAsia="宋体" w:cs="Calibri"/>
      <w:kern w:val="2"/>
      <w:sz w:val="21"/>
      <w:szCs w:val="21"/>
      <w:lang w:val="en-US" w:eastAsia="zh-CN" w:bidi="ar-SA"/>
    </w:rPr>
  </w:style>
  <w:style w:type="paragraph" w:customStyle="1" w:styleId="141">
    <w:name w:val="0正文"/>
    <w:basedOn w:val="1"/>
    <w:semiHidden/>
    <w:qFormat/>
    <w:uiPriority w:val="0"/>
    <w:pPr>
      <w:spacing w:line="360" w:lineRule="auto"/>
      <w:ind w:firstLine="720" w:firstLineChars="200"/>
      <w:jc w:val="left"/>
    </w:pPr>
    <w:rPr>
      <w:rFonts w:ascii="Calibri" w:hAnsi="Calibri" w:eastAsia="宋体" w:cs="Times New Roman"/>
      <w:kern w:val="0"/>
      <w:szCs w:val="24"/>
    </w:rPr>
  </w:style>
  <w:style w:type="paragraph" w:customStyle="1" w:styleId="142">
    <w:name w:val="正文8"/>
    <w:qFormat/>
    <w:uiPriority w:val="0"/>
    <w:pPr>
      <w:jc w:val="both"/>
    </w:pPr>
    <w:rPr>
      <w:rFonts w:ascii="Times New Roman" w:hAnsi="Times New Roman" w:eastAsia="宋体" w:cs="Times New Roman"/>
      <w:kern w:val="2"/>
      <w:sz w:val="21"/>
      <w:szCs w:val="21"/>
      <w:lang w:val="en-US" w:eastAsia="zh-CN" w:bidi="ar-SA"/>
    </w:rPr>
  </w:style>
  <w:style w:type="paragraph" w:customStyle="1" w:styleId="143">
    <w:name w:val="样式1"/>
    <w:basedOn w:val="1"/>
    <w:qFormat/>
    <w:uiPriority w:val="0"/>
    <w:pPr>
      <w:adjustRightInd w:val="0"/>
      <w:spacing w:line="480" w:lineRule="atLeast"/>
      <w:ind w:firstLine="539"/>
    </w:pPr>
    <w:rPr>
      <w:rFonts w:ascii="Calibri" w:hAnsi="Calibri" w:eastAsia="仿宋_GB2312" w:cs="宋体"/>
      <w:kern w:val="0"/>
      <w:sz w:val="28"/>
      <w:szCs w:val="28"/>
    </w:rPr>
  </w:style>
  <w:style w:type="paragraph" w:customStyle="1" w:styleId="144">
    <w:name w:val="正文9"/>
    <w:qFormat/>
    <w:uiPriority w:val="0"/>
    <w:pPr>
      <w:jc w:val="both"/>
    </w:pPr>
    <w:rPr>
      <w:rFonts w:ascii="Times New Roman" w:hAnsi="Times New Roman" w:eastAsia="宋体" w:cs="Times New Roman"/>
      <w:kern w:val="2"/>
      <w:sz w:val="21"/>
      <w:szCs w:val="21"/>
      <w:lang w:val="en-US" w:eastAsia="zh-CN" w:bidi="ar-SA"/>
    </w:rPr>
  </w:style>
  <w:style w:type="paragraph" w:customStyle="1" w:styleId="145">
    <w:name w:val="表头"/>
    <w:basedOn w:val="1"/>
    <w:qFormat/>
    <w:uiPriority w:val="0"/>
    <w:pPr>
      <w:spacing w:beforeLines="50" w:after="100" w:afterAutospacing="1" w:line="360" w:lineRule="auto"/>
      <w:jc w:val="center"/>
    </w:pPr>
    <w:rPr>
      <w:rFonts w:hAnsi="宋体" w:eastAsia="宋体" w:cs="Times New Roman"/>
      <w:b/>
      <w:bCs/>
      <w:szCs w:val="24"/>
    </w:rPr>
  </w:style>
  <w:style w:type="paragraph" w:customStyle="1" w:styleId="146">
    <w:name w:val="图表"/>
    <w:basedOn w:val="1"/>
    <w:qFormat/>
    <w:uiPriority w:val="0"/>
    <w:pPr>
      <w:adjustRightInd w:val="0"/>
      <w:snapToGrid w:val="0"/>
      <w:spacing w:line="440" w:lineRule="exact"/>
      <w:ind w:firstLine="480" w:firstLineChars="200"/>
    </w:pPr>
    <w:rPr>
      <w:rFonts w:ascii="宋体" w:eastAsia="宋体" w:cs="Times New Roman"/>
      <w:sz w:val="21"/>
      <w:szCs w:val="20"/>
    </w:rPr>
  </w:style>
  <w:style w:type="paragraph" w:customStyle="1" w:styleId="147">
    <w:name w:val="正文10"/>
    <w:qFormat/>
    <w:uiPriority w:val="0"/>
    <w:pPr>
      <w:jc w:val="both"/>
    </w:pPr>
    <w:rPr>
      <w:rFonts w:ascii="Times New Roman" w:hAnsi="Times New Roman" w:eastAsia="宋体" w:cs="Times New Roman"/>
      <w:kern w:val="2"/>
      <w:sz w:val="21"/>
      <w:szCs w:val="21"/>
      <w:lang w:val="en-US" w:eastAsia="zh-CN" w:bidi="ar-SA"/>
    </w:rPr>
  </w:style>
  <w:style w:type="paragraph" w:customStyle="1" w:styleId="148">
    <w:name w:val="正文11"/>
    <w:qFormat/>
    <w:uiPriority w:val="0"/>
    <w:pPr>
      <w:jc w:val="both"/>
    </w:pPr>
    <w:rPr>
      <w:rFonts w:ascii="Times New Roman" w:hAnsi="Times New Roman" w:eastAsia="宋体" w:cs="Times New Roman"/>
      <w:kern w:val="2"/>
      <w:sz w:val="21"/>
      <w:szCs w:val="21"/>
      <w:lang w:val="en-US" w:eastAsia="zh-CN" w:bidi="ar-SA"/>
    </w:rPr>
  </w:style>
  <w:style w:type="character" w:customStyle="1" w:styleId="149">
    <w:name w:val="题注 Char1"/>
    <w:qFormat/>
    <w:uiPriority w:val="35"/>
    <w:rPr>
      <w:rFonts w:ascii="Times New Roman" w:hAnsi="Times New Roman" w:eastAsia="黑体" w:cs="Times New Roman"/>
      <w:kern w:val="21"/>
      <w:sz w:val="21"/>
    </w:rPr>
  </w:style>
  <w:style w:type="character" w:customStyle="1" w:styleId="150">
    <w:name w:val="正文1 Char Char"/>
    <w:qFormat/>
    <w:uiPriority w:val="0"/>
    <w:rPr>
      <w:rFonts w:ascii="Times New Roman" w:hAnsi="Times New Roman"/>
      <w:color w:val="000000"/>
      <w:kern w:val="2"/>
      <w:sz w:val="24"/>
      <w:lang w:val="en-US" w:bidi="ar-SA"/>
    </w:rPr>
  </w:style>
  <w:style w:type="paragraph" w:customStyle="1" w:styleId="151">
    <w:name w:val="正文_3"/>
    <w:basedOn w:val="1"/>
    <w:qFormat/>
    <w:uiPriority w:val="0"/>
    <w:rPr>
      <w:rFonts w:eastAsia="宋体" w:cs="Times New Roman"/>
      <w:sz w:val="21"/>
    </w:rPr>
  </w:style>
  <w:style w:type="paragraph" w:customStyle="1" w:styleId="152">
    <w:name w:val="正文12"/>
    <w:qFormat/>
    <w:uiPriority w:val="0"/>
    <w:pPr>
      <w:jc w:val="both"/>
    </w:pPr>
    <w:rPr>
      <w:rFonts w:ascii="Times New Roman" w:hAnsi="Times New Roman" w:eastAsia="宋体" w:cs="Times New Roman"/>
      <w:kern w:val="2"/>
      <w:sz w:val="21"/>
      <w:szCs w:val="21"/>
      <w:lang w:val="en-US" w:eastAsia="zh-CN" w:bidi="ar-SA"/>
    </w:rPr>
  </w:style>
  <w:style w:type="paragraph" w:customStyle="1" w:styleId="153">
    <w:name w:val="正文13"/>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image" Target="media/image14.wmf"/><Relationship Id="rId26" Type="http://schemas.openxmlformats.org/officeDocument/2006/relationships/image" Target="media/image13.wmf"/><Relationship Id="rId25" Type="http://schemas.openxmlformats.org/officeDocument/2006/relationships/oleObject" Target="embeddings/oleObject7.bin"/><Relationship Id="rId24" Type="http://schemas.openxmlformats.org/officeDocument/2006/relationships/image" Target="media/image12.emf"/><Relationship Id="rId23" Type="http://schemas.openxmlformats.org/officeDocument/2006/relationships/oleObject" Target="embeddings/oleObject6.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5.bin"/><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jpeg"/><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A4EA0C-9078-471C-80F9-E9EBFBE746C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106</Pages>
  <Words>12178</Words>
  <Characters>69421</Characters>
  <Lines>578</Lines>
  <Paragraphs>162</Paragraphs>
  <TotalTime>1</TotalTime>
  <ScaleCrop>false</ScaleCrop>
  <LinksUpToDate>false</LinksUpToDate>
  <CharactersWithSpaces>81437</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2017-12-15T03:23:00Z</dcterms:created>
  <dc:creator>微软用户</dc:creator>
  <cp:lastModifiedBy>云淡风轻</cp:lastModifiedBy>
  <cp:lastPrinted>2018-03-14T19:15:00Z</cp:lastPrinted>
  <dcterms:modified xsi:type="dcterms:W3CDTF">2021-01-22T08:24:06Z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