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80" w:rsidRDefault="00244CB8">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2-1</w:t>
      </w:r>
    </w:p>
    <w:p w:rsidR="00411280" w:rsidRDefault="00411280">
      <w:pPr>
        <w:spacing w:line="348" w:lineRule="auto"/>
        <w:jc w:val="center"/>
        <w:rPr>
          <w:rFonts w:eastAsia="方正小标宋简体"/>
          <w:bCs/>
          <w:sz w:val="42"/>
          <w:szCs w:val="42"/>
        </w:rPr>
      </w:pPr>
    </w:p>
    <w:p w:rsidR="00411280" w:rsidRDefault="00411280">
      <w:pPr>
        <w:spacing w:line="800" w:lineRule="exact"/>
        <w:jc w:val="center"/>
        <w:rPr>
          <w:rFonts w:eastAsia="方正小标宋简体"/>
          <w:bCs/>
          <w:sz w:val="46"/>
          <w:szCs w:val="46"/>
        </w:rPr>
      </w:pPr>
    </w:p>
    <w:p w:rsidR="00411280" w:rsidRDefault="00244CB8">
      <w:pPr>
        <w:spacing w:line="800" w:lineRule="exact"/>
        <w:jc w:val="center"/>
        <w:rPr>
          <w:rFonts w:eastAsia="方正小标宋简体"/>
          <w:bCs/>
          <w:sz w:val="46"/>
          <w:szCs w:val="46"/>
        </w:rPr>
      </w:pPr>
      <w:r>
        <w:rPr>
          <w:rFonts w:eastAsia="方正小标宋简体" w:hint="eastAsia"/>
          <w:bCs/>
          <w:sz w:val="46"/>
          <w:szCs w:val="46"/>
        </w:rPr>
        <w:t>湖南城陵矶新港区</w:t>
      </w:r>
      <w:r>
        <w:rPr>
          <w:rFonts w:eastAsia="方正小标宋简体" w:hint="eastAsia"/>
          <w:bCs/>
          <w:sz w:val="46"/>
          <w:szCs w:val="46"/>
        </w:rPr>
        <w:t>20</w:t>
      </w:r>
      <w:r>
        <w:rPr>
          <w:rFonts w:eastAsia="方正小标宋简体" w:hint="eastAsia"/>
          <w:bCs/>
          <w:sz w:val="46"/>
          <w:szCs w:val="46"/>
          <w:u w:val="single"/>
        </w:rPr>
        <w:t>19</w:t>
      </w:r>
      <w:r>
        <w:rPr>
          <w:rFonts w:eastAsia="方正小标宋简体" w:hint="eastAsia"/>
          <w:bCs/>
          <w:sz w:val="46"/>
          <w:szCs w:val="46"/>
        </w:rPr>
        <w:t>年度部门</w:t>
      </w:r>
    </w:p>
    <w:p w:rsidR="00411280" w:rsidRDefault="00244CB8">
      <w:pPr>
        <w:spacing w:line="800" w:lineRule="exact"/>
        <w:jc w:val="center"/>
        <w:rPr>
          <w:rFonts w:eastAsia="方正小标宋简体"/>
          <w:bCs/>
          <w:sz w:val="46"/>
          <w:szCs w:val="46"/>
        </w:rPr>
      </w:pPr>
      <w:r>
        <w:rPr>
          <w:rFonts w:eastAsia="方正小标宋简体" w:hint="eastAsia"/>
          <w:bCs/>
          <w:sz w:val="46"/>
          <w:szCs w:val="46"/>
        </w:rPr>
        <w:t>整体支出绩效评价自评报告</w:t>
      </w:r>
    </w:p>
    <w:p w:rsidR="00411280" w:rsidRDefault="00411280">
      <w:pPr>
        <w:rPr>
          <w:rFonts w:eastAsia="仿宋_GB2312"/>
          <w:b/>
          <w:sz w:val="32"/>
        </w:rPr>
      </w:pPr>
    </w:p>
    <w:p w:rsidR="00411280" w:rsidRDefault="00411280">
      <w:pPr>
        <w:rPr>
          <w:rFonts w:eastAsia="仿宋_GB2312"/>
          <w:b/>
          <w:sz w:val="32"/>
        </w:rPr>
      </w:pPr>
    </w:p>
    <w:p w:rsidR="00411280" w:rsidRDefault="00411280">
      <w:pPr>
        <w:rPr>
          <w:rFonts w:eastAsia="仿宋_GB2312"/>
          <w:b/>
          <w:sz w:val="32"/>
        </w:rPr>
      </w:pPr>
    </w:p>
    <w:p w:rsidR="00411280" w:rsidRDefault="00411280">
      <w:pPr>
        <w:rPr>
          <w:rFonts w:eastAsia="仿宋_GB2312"/>
          <w:b/>
          <w:sz w:val="32"/>
        </w:rPr>
      </w:pPr>
    </w:p>
    <w:p w:rsidR="00411280" w:rsidRDefault="00411280">
      <w:pPr>
        <w:rPr>
          <w:rFonts w:eastAsia="仿宋_GB2312"/>
          <w:b/>
          <w:sz w:val="32"/>
        </w:rPr>
      </w:pPr>
    </w:p>
    <w:p w:rsidR="00411280" w:rsidRDefault="00244CB8" w:rsidP="00710044">
      <w:pPr>
        <w:spacing w:beforeLines="50" w:line="348" w:lineRule="auto"/>
        <w:ind w:leftChars="150" w:left="2875" w:hangingChars="800" w:hanging="2560"/>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bookmarkStart w:id="0" w:name="_Hlk49500201"/>
      <w:r>
        <w:rPr>
          <w:rFonts w:eastAsia="仿宋_GB2312" w:hint="eastAsia"/>
          <w:sz w:val="32"/>
          <w:szCs w:val="32"/>
          <w:u w:val="single"/>
        </w:rPr>
        <w:t>岳阳市自然资源和规划局</w:t>
      </w:r>
      <w:r>
        <w:rPr>
          <w:rFonts w:eastAsia="仿宋_GB2312" w:hint="eastAsia"/>
          <w:sz w:val="32"/>
          <w:szCs w:val="32"/>
          <w:u w:val="single"/>
        </w:rPr>
        <w:t>湖南城陵矶新港区</w:t>
      </w:r>
      <w:bookmarkEnd w:id="0"/>
      <w:r>
        <w:rPr>
          <w:rFonts w:eastAsia="仿宋_GB2312" w:hint="eastAsia"/>
          <w:sz w:val="32"/>
          <w:szCs w:val="32"/>
          <w:u w:val="single"/>
        </w:rPr>
        <w:t>分局</w:t>
      </w:r>
    </w:p>
    <w:p w:rsidR="00411280" w:rsidRDefault="00244CB8" w:rsidP="00710044">
      <w:pPr>
        <w:spacing w:beforeLines="50" w:line="348" w:lineRule="auto"/>
        <w:ind w:firstLineChars="150" w:firstLine="480"/>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spacing w:val="30"/>
          <w:sz w:val="32"/>
          <w:szCs w:val="32"/>
          <w:u w:val="single"/>
        </w:rPr>
        <w:t>408008</w:t>
      </w:r>
    </w:p>
    <w:p w:rsidR="00411280" w:rsidRDefault="00244CB8" w:rsidP="00710044">
      <w:pPr>
        <w:spacing w:beforeLines="50" w:line="348" w:lineRule="auto"/>
        <w:ind w:firstLineChars="150" w:firstLine="480"/>
        <w:rPr>
          <w:rFonts w:eastAsia="仿宋_GB2312"/>
          <w:sz w:val="32"/>
          <w:szCs w:val="32"/>
        </w:rPr>
      </w:pPr>
      <w:r>
        <w:rPr>
          <w:rFonts w:eastAsia="仿宋_GB2312" w:hint="eastAsia"/>
          <w:sz w:val="32"/>
          <w:szCs w:val="32"/>
        </w:rPr>
        <w:t>评价方式：部门（单位）绩效自评</w:t>
      </w:r>
    </w:p>
    <w:p w:rsidR="00411280" w:rsidRDefault="00244CB8" w:rsidP="00710044">
      <w:pPr>
        <w:spacing w:beforeLines="50" w:line="348" w:lineRule="auto"/>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411280" w:rsidRDefault="00411280">
      <w:pPr>
        <w:spacing w:line="720" w:lineRule="exact"/>
        <w:ind w:firstLineChars="690" w:firstLine="2208"/>
        <w:rPr>
          <w:rFonts w:eastAsia="仿宋_GB2312"/>
          <w:sz w:val="32"/>
        </w:rPr>
      </w:pPr>
    </w:p>
    <w:p w:rsidR="00411280" w:rsidRDefault="00411280">
      <w:pPr>
        <w:spacing w:line="720" w:lineRule="exact"/>
        <w:ind w:firstLineChars="690" w:firstLine="2208"/>
        <w:rPr>
          <w:rFonts w:eastAsia="仿宋_GB2312"/>
          <w:sz w:val="32"/>
        </w:rPr>
      </w:pPr>
    </w:p>
    <w:p w:rsidR="00411280" w:rsidRDefault="00411280">
      <w:pPr>
        <w:spacing w:line="720" w:lineRule="exact"/>
        <w:ind w:firstLineChars="690" w:firstLine="2208"/>
        <w:rPr>
          <w:rFonts w:eastAsia="仿宋_GB2312"/>
          <w:sz w:val="32"/>
        </w:rPr>
      </w:pPr>
    </w:p>
    <w:p w:rsidR="00411280" w:rsidRDefault="00411280">
      <w:pPr>
        <w:spacing w:line="720" w:lineRule="exact"/>
        <w:ind w:firstLineChars="690" w:firstLine="2208"/>
        <w:rPr>
          <w:rFonts w:eastAsia="仿宋_GB2312"/>
          <w:sz w:val="32"/>
        </w:rPr>
      </w:pPr>
    </w:p>
    <w:p w:rsidR="00411280" w:rsidRDefault="00244CB8">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sz w:val="32"/>
        </w:rPr>
        <w:t>2020</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sz w:val="32"/>
        </w:rPr>
        <w:t>8</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sz w:val="32"/>
        </w:rPr>
        <w:t>2</w:t>
      </w:r>
      <w:r>
        <w:rPr>
          <w:rFonts w:eastAsia="仿宋_GB2312" w:hint="eastAsia"/>
          <w:sz w:val="32"/>
        </w:rPr>
        <w:t>0</w:t>
      </w:r>
      <w:bookmarkStart w:id="1" w:name="_GoBack"/>
      <w:bookmarkEnd w:id="1"/>
      <w:r>
        <w:rPr>
          <w:rFonts w:eastAsia="仿宋_GB2312" w:hint="eastAsia"/>
          <w:sz w:val="32"/>
        </w:rPr>
        <w:t xml:space="preserve"> </w:t>
      </w:r>
      <w:r>
        <w:rPr>
          <w:rFonts w:eastAsia="仿宋_GB2312" w:hint="eastAsia"/>
          <w:sz w:val="32"/>
        </w:rPr>
        <w:t>日</w:t>
      </w:r>
    </w:p>
    <w:tbl>
      <w:tblPr>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37"/>
        <w:gridCol w:w="463"/>
        <w:gridCol w:w="46"/>
        <w:gridCol w:w="1080"/>
        <w:gridCol w:w="210"/>
        <w:gridCol w:w="1145"/>
        <w:gridCol w:w="33"/>
        <w:gridCol w:w="726"/>
        <w:gridCol w:w="1845"/>
        <w:gridCol w:w="525"/>
        <w:gridCol w:w="23"/>
        <w:gridCol w:w="567"/>
        <w:gridCol w:w="586"/>
        <w:gridCol w:w="735"/>
        <w:gridCol w:w="663"/>
      </w:tblGrid>
      <w:tr w:rsidR="00411280">
        <w:trPr>
          <w:trHeight w:val="567"/>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411280">
        <w:trPr>
          <w:trHeight w:val="567"/>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240" w:type="dxa"/>
            <w:gridSpan w:val="6"/>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李文</w:t>
            </w:r>
          </w:p>
        </w:tc>
        <w:tc>
          <w:tcPr>
            <w:tcW w:w="237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2574"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3707302096</w:t>
            </w:r>
          </w:p>
        </w:tc>
      </w:tr>
      <w:tr w:rsidR="00411280">
        <w:trPr>
          <w:trHeight w:val="567"/>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240" w:type="dxa"/>
            <w:gridSpan w:val="6"/>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人</w:t>
            </w:r>
          </w:p>
        </w:tc>
        <w:tc>
          <w:tcPr>
            <w:tcW w:w="237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2574"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人</w:t>
            </w:r>
          </w:p>
        </w:tc>
      </w:tr>
      <w:tr w:rsidR="00411280">
        <w:trPr>
          <w:trHeight w:val="1500"/>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84" w:type="dxa"/>
            <w:gridSpan w:val="13"/>
            <w:vAlign w:val="center"/>
          </w:tcPr>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负责湖南城陵矶新港区内的土地利用总体规划管理、建设用地报批、基准地价制定、地籍管理、土地出让和转让、国土资源违法案件查处、土地利用动态监测监管、国土资源信息管理、国土资源政策法规宣传。</w:t>
            </w:r>
          </w:p>
        </w:tc>
      </w:tr>
      <w:tr w:rsidR="00411280">
        <w:trPr>
          <w:trHeight w:val="2464"/>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84" w:type="dxa"/>
            <w:gridSpan w:val="13"/>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：用地保障工作。</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：城乡规划工作。</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：专项工作。</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：党建工作。</w:t>
            </w:r>
          </w:p>
          <w:p w:rsidR="00411280" w:rsidRDefault="00411280">
            <w:pPr>
              <w:autoSpaceDN w:val="0"/>
              <w:spacing w:line="320" w:lineRule="exact"/>
              <w:jc w:val="left"/>
              <w:textAlignment w:val="center"/>
              <w:rPr>
                <w:rFonts w:ascii="仿宋_GB2312" w:eastAsia="仿宋_GB2312" w:hAnsi="仿宋_GB2312" w:cs="仿宋_GB2312"/>
                <w:color w:val="000000"/>
                <w:sz w:val="24"/>
              </w:rPr>
            </w:pPr>
          </w:p>
        </w:tc>
      </w:tr>
      <w:tr w:rsidR="00411280">
        <w:trPr>
          <w:trHeight w:val="2260"/>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84" w:type="dxa"/>
            <w:gridSpan w:val="13"/>
            <w:vAlign w:val="center"/>
          </w:tcPr>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分局认真贯彻落实新港区党工委、管委会及市局党组的工作部署，切实履行“保护资源、保障发展、维护权益、服务社会”的职责，积极主动服务、严格规范管理、狠抓工作落实，为新港区经济社会持续健康发展提供了自然资源支撑和保障。主要工作完成情况如下：</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、用地保障工作：用地报批共组卷</w:t>
            </w:r>
            <w:r>
              <w:rPr>
                <w:rFonts w:ascii="仿宋_GB2312" w:eastAsia="仿宋_GB2312" w:hAnsi="仿宋_GB2312" w:cs="仿宋_GB2312" w:hint="eastAsia"/>
                <w:color w:val="000000"/>
                <w:sz w:val="24"/>
              </w:rPr>
              <w:t>18</w:t>
            </w:r>
            <w:r>
              <w:rPr>
                <w:rFonts w:ascii="仿宋_GB2312" w:eastAsia="仿宋_GB2312" w:hAnsi="仿宋_GB2312" w:cs="仿宋_GB2312" w:hint="eastAsia"/>
                <w:color w:val="000000"/>
                <w:sz w:val="24"/>
              </w:rPr>
              <w:t>个，面积</w:t>
            </w:r>
            <w:r>
              <w:rPr>
                <w:rFonts w:ascii="仿宋_GB2312" w:eastAsia="仿宋_GB2312" w:hAnsi="仿宋_GB2312" w:cs="仿宋_GB2312" w:hint="eastAsia"/>
                <w:color w:val="000000"/>
                <w:sz w:val="24"/>
              </w:rPr>
              <w:t>3785.5</w:t>
            </w:r>
            <w:r>
              <w:rPr>
                <w:rFonts w:ascii="仿宋_GB2312" w:eastAsia="仿宋_GB2312" w:hAnsi="仿宋_GB2312" w:cs="仿宋_GB2312" w:hint="eastAsia"/>
                <w:color w:val="000000"/>
                <w:sz w:val="24"/>
              </w:rPr>
              <w:t>亩；购买各类指标</w:t>
            </w:r>
            <w:r>
              <w:rPr>
                <w:rFonts w:ascii="仿宋_GB2312" w:eastAsia="仿宋_GB2312" w:hAnsi="仿宋_GB2312" w:cs="仿宋_GB2312" w:hint="eastAsia"/>
                <w:color w:val="000000"/>
                <w:sz w:val="24"/>
              </w:rPr>
              <w:t>3544.6725</w:t>
            </w:r>
            <w:r>
              <w:rPr>
                <w:rFonts w:ascii="仿宋_GB2312" w:eastAsia="仿宋_GB2312" w:hAnsi="仿宋_GB2312" w:cs="仿宋_GB2312" w:hint="eastAsia"/>
                <w:color w:val="000000"/>
                <w:sz w:val="24"/>
              </w:rPr>
              <w:t>亩，总费用约人民币</w:t>
            </w: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亿，完成杨其湖开发项目验收，可用于占补平衡指标使用面积</w:t>
            </w:r>
            <w:r>
              <w:rPr>
                <w:rFonts w:ascii="仿宋_GB2312" w:eastAsia="仿宋_GB2312" w:hAnsi="仿宋_GB2312" w:cs="仿宋_GB2312" w:hint="eastAsia"/>
                <w:color w:val="000000"/>
                <w:sz w:val="24"/>
              </w:rPr>
              <w:t>818.9925</w:t>
            </w:r>
            <w:r>
              <w:rPr>
                <w:rFonts w:ascii="仿宋_GB2312" w:eastAsia="仿宋_GB2312" w:hAnsi="仿宋_GB2312" w:cs="仿宋_GB2312" w:hint="eastAsia"/>
                <w:color w:val="000000"/>
                <w:sz w:val="24"/>
              </w:rPr>
              <w:t>亩结余指标情况：增减挂钩指标共</w:t>
            </w:r>
            <w:r>
              <w:rPr>
                <w:rFonts w:ascii="仿宋_GB2312" w:eastAsia="仿宋_GB2312" w:hAnsi="仿宋_GB2312" w:cs="仿宋_GB2312" w:hint="eastAsia"/>
                <w:color w:val="000000"/>
                <w:sz w:val="24"/>
              </w:rPr>
              <w:t>558.4215</w:t>
            </w:r>
            <w:r>
              <w:rPr>
                <w:rFonts w:ascii="仿宋_GB2312" w:eastAsia="仿宋_GB2312" w:hAnsi="仿宋_GB2312" w:cs="仿宋_GB2312" w:hint="eastAsia"/>
                <w:color w:val="000000"/>
                <w:sz w:val="24"/>
              </w:rPr>
              <w:t>亩（水田</w:t>
            </w:r>
            <w:r>
              <w:rPr>
                <w:rFonts w:ascii="仿宋_GB2312" w:eastAsia="仿宋_GB2312" w:hAnsi="仿宋_GB2312" w:cs="仿宋_GB2312" w:hint="eastAsia"/>
                <w:color w:val="000000"/>
                <w:sz w:val="24"/>
              </w:rPr>
              <w:t>300.3945</w:t>
            </w:r>
            <w:r>
              <w:rPr>
                <w:rFonts w:ascii="仿宋_GB2312" w:eastAsia="仿宋_GB2312" w:hAnsi="仿宋_GB2312" w:cs="仿宋_GB2312" w:hint="eastAsia"/>
                <w:color w:val="000000"/>
                <w:sz w:val="24"/>
              </w:rPr>
              <w:t>亩，旱地</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5.969</w:t>
            </w:r>
            <w:r>
              <w:rPr>
                <w:rFonts w:ascii="仿宋_GB2312" w:eastAsia="仿宋_GB2312" w:hAnsi="仿宋_GB2312" w:cs="仿宋_GB2312" w:hint="eastAsia"/>
                <w:color w:val="000000"/>
                <w:sz w:val="24"/>
              </w:rPr>
              <w:t>亩，其他农用地</w:t>
            </w:r>
            <w:r>
              <w:rPr>
                <w:rFonts w:ascii="仿宋_GB2312" w:eastAsia="仿宋_GB2312" w:hAnsi="仿宋_GB2312" w:cs="仿宋_GB2312" w:hint="eastAsia"/>
                <w:color w:val="000000"/>
                <w:sz w:val="24"/>
              </w:rPr>
              <w:t>182.058</w:t>
            </w:r>
            <w:r>
              <w:rPr>
                <w:rFonts w:ascii="仿宋_GB2312" w:eastAsia="仿宋_GB2312" w:hAnsi="仿宋_GB2312" w:cs="仿宋_GB2312" w:hint="eastAsia"/>
                <w:color w:val="000000"/>
                <w:sz w:val="24"/>
              </w:rPr>
              <w:t>亩）；占补平衡耕地指标</w:t>
            </w:r>
            <w:r>
              <w:rPr>
                <w:rFonts w:ascii="仿宋_GB2312" w:eastAsia="仿宋_GB2312" w:hAnsi="仿宋_GB2312" w:cs="仿宋_GB2312" w:hint="eastAsia"/>
                <w:color w:val="000000"/>
                <w:sz w:val="24"/>
              </w:rPr>
              <w:t>683.577</w:t>
            </w:r>
            <w:r>
              <w:rPr>
                <w:rFonts w:ascii="仿宋_GB2312" w:eastAsia="仿宋_GB2312" w:hAnsi="仿宋_GB2312" w:cs="仿宋_GB2312" w:hint="eastAsia"/>
                <w:color w:val="000000"/>
                <w:sz w:val="24"/>
              </w:rPr>
              <w:t>亩（水田</w:t>
            </w:r>
            <w:r>
              <w:rPr>
                <w:rFonts w:ascii="仿宋_GB2312" w:eastAsia="仿宋_GB2312" w:hAnsi="仿宋_GB2312" w:cs="仿宋_GB2312" w:hint="eastAsia"/>
                <w:color w:val="000000"/>
                <w:sz w:val="24"/>
              </w:rPr>
              <w:t>619.3905</w:t>
            </w:r>
            <w:r>
              <w:rPr>
                <w:rFonts w:ascii="仿宋_GB2312" w:eastAsia="仿宋_GB2312" w:hAnsi="仿宋_GB2312" w:cs="仿宋_GB2312" w:hint="eastAsia"/>
                <w:color w:val="000000"/>
                <w:sz w:val="24"/>
              </w:rPr>
              <w:t>亩，旱地</w:t>
            </w:r>
            <w:r>
              <w:rPr>
                <w:rFonts w:ascii="仿宋_GB2312" w:eastAsia="仿宋_GB2312" w:hAnsi="仿宋_GB2312" w:cs="仿宋_GB2312" w:hint="eastAsia"/>
                <w:color w:val="000000"/>
                <w:sz w:val="24"/>
              </w:rPr>
              <w:t>464.514</w:t>
            </w:r>
            <w:r>
              <w:rPr>
                <w:rFonts w:ascii="仿宋_GB2312" w:eastAsia="仿宋_GB2312" w:hAnsi="仿宋_GB2312" w:cs="仿宋_GB2312" w:hint="eastAsia"/>
                <w:color w:val="000000"/>
                <w:sz w:val="24"/>
              </w:rPr>
              <w:t>亩）；土地供应全年共挂牌土地</w:t>
            </w:r>
            <w:r>
              <w:rPr>
                <w:rFonts w:ascii="仿宋_GB2312" w:eastAsia="仿宋_GB2312" w:hAnsi="仿宋_GB2312" w:cs="仿宋_GB2312" w:hint="eastAsia"/>
                <w:color w:val="000000"/>
                <w:sz w:val="24"/>
              </w:rPr>
              <w:t>22</w:t>
            </w:r>
            <w:r>
              <w:rPr>
                <w:rFonts w:ascii="仿宋_GB2312" w:eastAsia="仿宋_GB2312" w:hAnsi="仿宋_GB2312" w:cs="仿宋_GB2312" w:hint="eastAsia"/>
                <w:color w:val="000000"/>
                <w:sz w:val="24"/>
              </w:rPr>
              <w:t>宗土地，总面积为</w:t>
            </w:r>
            <w:r>
              <w:rPr>
                <w:rFonts w:ascii="仿宋_GB2312" w:eastAsia="仿宋_GB2312" w:hAnsi="仿宋_GB2312" w:cs="仿宋_GB2312" w:hint="eastAsia"/>
                <w:color w:val="000000"/>
                <w:sz w:val="24"/>
              </w:rPr>
              <w:t>2989.56</w:t>
            </w:r>
            <w:r>
              <w:rPr>
                <w:rFonts w:ascii="仿宋_GB2312" w:eastAsia="仿宋_GB2312" w:hAnsi="仿宋_GB2312" w:cs="仿宋_GB2312" w:hint="eastAsia"/>
                <w:color w:val="000000"/>
                <w:sz w:val="24"/>
              </w:rPr>
              <w:t>亩，土地价款</w:t>
            </w:r>
            <w:r>
              <w:rPr>
                <w:rFonts w:ascii="仿宋_GB2312" w:eastAsia="仿宋_GB2312" w:hAnsi="仿宋_GB2312" w:cs="仿宋_GB2312" w:hint="eastAsia"/>
                <w:color w:val="000000"/>
                <w:sz w:val="24"/>
              </w:rPr>
              <w:t>16.7596</w:t>
            </w:r>
            <w:r>
              <w:rPr>
                <w:rFonts w:ascii="仿宋_GB2312" w:eastAsia="仿宋_GB2312" w:hAnsi="仿宋_GB2312" w:cs="仿宋_GB2312" w:hint="eastAsia"/>
                <w:color w:val="000000"/>
                <w:sz w:val="24"/>
              </w:rPr>
              <w:t>亿元；土地征收已发布</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个征地公告、</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个安置方案实施公告；全年共挂牌土地</w:t>
            </w:r>
            <w:r>
              <w:rPr>
                <w:rFonts w:ascii="仿宋_GB2312" w:eastAsia="仿宋_GB2312" w:hAnsi="仿宋_GB2312" w:cs="仿宋_GB2312" w:hint="eastAsia"/>
                <w:color w:val="000000"/>
                <w:sz w:val="24"/>
              </w:rPr>
              <w:t>22</w:t>
            </w:r>
            <w:r>
              <w:rPr>
                <w:rFonts w:ascii="仿宋_GB2312" w:eastAsia="仿宋_GB2312" w:hAnsi="仿宋_GB2312" w:cs="仿宋_GB2312" w:hint="eastAsia"/>
                <w:color w:val="000000"/>
                <w:sz w:val="24"/>
              </w:rPr>
              <w:t>宗土地，总面积为</w:t>
            </w:r>
            <w:r>
              <w:rPr>
                <w:rFonts w:ascii="仿宋_GB2312" w:eastAsia="仿宋_GB2312" w:hAnsi="仿宋_GB2312" w:cs="仿宋_GB2312" w:hint="eastAsia"/>
                <w:color w:val="000000"/>
                <w:sz w:val="24"/>
              </w:rPr>
              <w:t>2989.56</w:t>
            </w:r>
            <w:r>
              <w:rPr>
                <w:rFonts w:ascii="仿宋_GB2312" w:eastAsia="仿宋_GB2312" w:hAnsi="仿宋_GB2312" w:cs="仿宋_GB2312" w:hint="eastAsia"/>
                <w:color w:val="000000"/>
                <w:sz w:val="24"/>
              </w:rPr>
              <w:t>亩，土地价款</w:t>
            </w:r>
            <w:r>
              <w:rPr>
                <w:rFonts w:ascii="仿宋_GB2312" w:eastAsia="仿宋_GB2312" w:hAnsi="仿宋_GB2312" w:cs="仿宋_GB2312" w:hint="eastAsia"/>
                <w:color w:val="000000"/>
                <w:sz w:val="24"/>
              </w:rPr>
              <w:t>16.7596</w:t>
            </w:r>
            <w:r>
              <w:rPr>
                <w:rFonts w:ascii="仿宋_GB2312" w:eastAsia="仿宋_GB2312" w:hAnsi="仿宋_GB2312" w:cs="仿宋_GB2312" w:hint="eastAsia"/>
                <w:color w:val="000000"/>
                <w:sz w:val="24"/>
              </w:rPr>
              <w:t>亿元；发布</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个征地公告、</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个安置方案实施公告。</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已拿回用地批单的项目</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个，共计</w:t>
            </w:r>
            <w:r>
              <w:rPr>
                <w:rFonts w:ascii="仿宋_GB2312" w:eastAsia="仿宋_GB2312" w:hAnsi="仿宋_GB2312" w:cs="仿宋_GB2312" w:hint="eastAsia"/>
                <w:color w:val="000000"/>
                <w:sz w:val="24"/>
              </w:rPr>
              <w:t>1463.9</w:t>
            </w:r>
            <w:r>
              <w:rPr>
                <w:rFonts w:ascii="仿宋_GB2312" w:eastAsia="仿宋_GB2312" w:hAnsi="仿宋_GB2312" w:cs="仿宋_GB2312" w:hint="eastAsia"/>
                <w:color w:val="000000"/>
                <w:sz w:val="24"/>
              </w:rPr>
              <w:t>亩，分别是铁路支线、中储粮、谭家湖小区、标准化厂房和江岭西路等项目；已拿回缴费通知书</w:t>
            </w:r>
            <w:r>
              <w:rPr>
                <w:rFonts w:ascii="仿宋_GB2312" w:eastAsia="仿宋_GB2312" w:hAnsi="仿宋_GB2312" w:cs="仿宋_GB2312" w:hint="eastAsia"/>
                <w:color w:val="000000"/>
                <w:sz w:val="24"/>
              </w:rPr>
              <w:t>的项目</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个，共计</w:t>
            </w:r>
            <w:r>
              <w:rPr>
                <w:rFonts w:ascii="仿宋_GB2312" w:eastAsia="仿宋_GB2312" w:hAnsi="仿宋_GB2312" w:cs="仿宋_GB2312" w:hint="eastAsia"/>
                <w:color w:val="000000"/>
                <w:sz w:val="24"/>
              </w:rPr>
              <w:t>1029.6</w:t>
            </w:r>
            <w:r>
              <w:rPr>
                <w:rFonts w:ascii="仿宋_GB2312" w:eastAsia="仿宋_GB2312" w:hAnsi="仿宋_GB2312" w:cs="仿宋_GB2312" w:hint="eastAsia"/>
                <w:color w:val="000000"/>
                <w:sz w:val="24"/>
              </w:rPr>
              <w:t>亩，分别是江济东路、奥特莱斯、城陵矶新港港口物流园等项目；</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增减挂钩指标</w:t>
            </w:r>
            <w:r>
              <w:rPr>
                <w:rFonts w:ascii="仿宋_GB2312" w:eastAsia="仿宋_GB2312" w:hAnsi="仿宋_GB2312" w:cs="仿宋_GB2312" w:hint="eastAsia"/>
                <w:color w:val="000000"/>
                <w:sz w:val="24"/>
              </w:rPr>
              <w:t>2261.0955</w:t>
            </w:r>
            <w:r>
              <w:rPr>
                <w:rFonts w:ascii="仿宋_GB2312" w:eastAsia="仿宋_GB2312" w:hAnsi="仿宋_GB2312" w:cs="仿宋_GB2312" w:hint="eastAsia"/>
                <w:color w:val="000000"/>
                <w:sz w:val="24"/>
              </w:rPr>
              <w:t>亩，交易金额</w:t>
            </w:r>
            <w:r>
              <w:rPr>
                <w:rFonts w:ascii="仿宋_GB2312" w:eastAsia="仿宋_GB2312" w:hAnsi="仿宋_GB2312" w:cs="仿宋_GB2312" w:hint="eastAsia"/>
                <w:color w:val="000000"/>
                <w:sz w:val="24"/>
              </w:rPr>
              <w:t>3.44</w:t>
            </w:r>
            <w:r>
              <w:rPr>
                <w:rFonts w:ascii="仿宋_GB2312" w:eastAsia="仿宋_GB2312" w:hAnsi="仿宋_GB2312" w:cs="仿宋_GB2312" w:hint="eastAsia"/>
                <w:color w:val="000000"/>
                <w:sz w:val="24"/>
              </w:rPr>
              <w:t>亿元；占补平衡耕地指标</w:t>
            </w:r>
            <w:r>
              <w:rPr>
                <w:rFonts w:ascii="仿宋_GB2312" w:eastAsia="仿宋_GB2312" w:hAnsi="仿宋_GB2312" w:cs="仿宋_GB2312" w:hint="eastAsia"/>
                <w:color w:val="000000"/>
                <w:sz w:val="24"/>
              </w:rPr>
              <w:t>683.577</w:t>
            </w:r>
            <w:r>
              <w:rPr>
                <w:rFonts w:ascii="仿宋_GB2312" w:eastAsia="仿宋_GB2312" w:hAnsi="仿宋_GB2312" w:cs="仿宋_GB2312" w:hint="eastAsia"/>
                <w:color w:val="000000"/>
                <w:sz w:val="24"/>
              </w:rPr>
              <w:t>亩，交易金额</w:t>
            </w:r>
            <w:r>
              <w:rPr>
                <w:rFonts w:ascii="仿宋_GB2312" w:eastAsia="仿宋_GB2312" w:hAnsi="仿宋_GB2312" w:cs="仿宋_GB2312" w:hint="eastAsia"/>
                <w:color w:val="000000"/>
                <w:sz w:val="24"/>
              </w:rPr>
              <w:t>4071.012</w:t>
            </w:r>
            <w:r>
              <w:rPr>
                <w:rFonts w:ascii="仿宋_GB2312" w:eastAsia="仿宋_GB2312" w:hAnsi="仿宋_GB2312" w:cs="仿宋_GB2312" w:hint="eastAsia"/>
                <w:color w:val="000000"/>
                <w:sz w:val="24"/>
              </w:rPr>
              <w:t>万元；占补平衡旱改水指标</w:t>
            </w:r>
            <w:r>
              <w:rPr>
                <w:rFonts w:ascii="仿宋_GB2312" w:eastAsia="仿宋_GB2312" w:hAnsi="仿宋_GB2312" w:cs="仿宋_GB2312" w:hint="eastAsia"/>
                <w:color w:val="000000"/>
                <w:sz w:val="24"/>
              </w:rPr>
              <w:t>600</w:t>
            </w:r>
            <w:r>
              <w:rPr>
                <w:rFonts w:ascii="仿宋_GB2312" w:eastAsia="仿宋_GB2312" w:hAnsi="仿宋_GB2312" w:cs="仿宋_GB2312" w:hint="eastAsia"/>
                <w:color w:val="000000"/>
                <w:sz w:val="24"/>
              </w:rPr>
              <w:t>亩，交易金额</w:t>
            </w:r>
            <w:r>
              <w:rPr>
                <w:rFonts w:ascii="仿宋_GB2312" w:eastAsia="仿宋_GB2312" w:hAnsi="仿宋_GB2312" w:cs="仿宋_GB2312" w:hint="eastAsia"/>
                <w:color w:val="000000"/>
                <w:sz w:val="24"/>
              </w:rPr>
              <w:t>3600</w:t>
            </w:r>
            <w:r>
              <w:rPr>
                <w:rFonts w:ascii="仿宋_GB2312" w:eastAsia="仿宋_GB2312" w:hAnsi="仿宋_GB2312" w:cs="仿宋_GB2312" w:hint="eastAsia"/>
                <w:color w:val="000000"/>
                <w:sz w:val="24"/>
              </w:rPr>
              <w:t>万元。完成杨其湖开发项目验收，可用于占补平衡指标使用面积</w:t>
            </w:r>
            <w:r>
              <w:rPr>
                <w:rFonts w:ascii="仿宋_GB2312" w:eastAsia="仿宋_GB2312" w:hAnsi="仿宋_GB2312" w:cs="仿宋_GB2312" w:hint="eastAsia"/>
                <w:color w:val="000000"/>
                <w:sz w:val="24"/>
              </w:rPr>
              <w:t>818.9925</w:t>
            </w:r>
            <w:r>
              <w:rPr>
                <w:rFonts w:ascii="仿宋_GB2312" w:eastAsia="仿宋_GB2312" w:hAnsi="仿宋_GB2312" w:cs="仿宋_GB2312" w:hint="eastAsia"/>
                <w:color w:val="000000"/>
                <w:sz w:val="24"/>
              </w:rPr>
              <w:t>亩。</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、城乡规划工作：完成《白杨湖片区控制性详细规划》《松阳湖片区控制性详细规划》《芭蕉湖片区控制性详细规划》及《城陵矶片区控制性详细规划》等四个片区市级专家评审；自</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月份开展规划工作</w:t>
            </w:r>
            <w:r>
              <w:rPr>
                <w:rFonts w:ascii="仿宋_GB2312" w:eastAsia="仿宋_GB2312" w:hAnsi="仿宋_GB2312" w:cs="仿宋_GB2312" w:hint="eastAsia"/>
                <w:color w:val="000000"/>
                <w:sz w:val="24"/>
              </w:rPr>
              <w:t>以来，共颁发选址意见书</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份，建设用地许可证</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个，建设工程许可证</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个；出具摸底红线图</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张，出让红线</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张，配合出具工作红线</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张；已出具规划设计图件</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份，组织竣工验收项目</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个，现场踏勘</w:t>
            </w:r>
            <w:r>
              <w:rPr>
                <w:rFonts w:ascii="仿宋_GB2312" w:eastAsia="仿宋_GB2312" w:hAnsi="仿宋_GB2312" w:cs="仿宋_GB2312" w:hint="eastAsia"/>
                <w:color w:val="000000"/>
                <w:sz w:val="24"/>
              </w:rPr>
              <w:t>30</w:t>
            </w:r>
            <w:r>
              <w:rPr>
                <w:rFonts w:ascii="仿宋_GB2312" w:eastAsia="仿宋_GB2312" w:hAnsi="仿宋_GB2312" w:cs="仿宋_GB2312" w:hint="eastAsia"/>
                <w:color w:val="000000"/>
                <w:sz w:val="24"/>
              </w:rPr>
              <w:t>余次。</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、专项工作：土地卫片执法按省、市卫片办要求进一步举证和核实图斑</w:t>
            </w:r>
            <w:r>
              <w:rPr>
                <w:rFonts w:ascii="仿宋_GB2312" w:eastAsia="仿宋_GB2312" w:hAnsi="仿宋_GB2312" w:cs="仿宋_GB2312" w:hint="eastAsia"/>
                <w:color w:val="000000"/>
                <w:sz w:val="24"/>
              </w:rPr>
              <w:lastRenderedPageBreak/>
              <w:t>情况，对涉及违法的图斑查清、查实上报，将疑似违法问题进行登记汇总，提前进行了核查整改，已确定的违法图斑</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个，已立案查处其中</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个，将新港区范围内的违法用地数量和面积控制在较低的比例。对长江办下发的疑是侵占湿地图斑及土地卫片图斑进行了全面核查，对</w:t>
            </w:r>
            <w:r>
              <w:rPr>
                <w:rFonts w:ascii="仿宋_GB2312" w:eastAsia="仿宋_GB2312" w:hAnsi="仿宋_GB2312" w:cs="仿宋_GB2312" w:hint="eastAsia"/>
                <w:color w:val="000000"/>
                <w:sz w:val="24"/>
              </w:rPr>
              <w:t>11</w:t>
            </w:r>
            <w:r>
              <w:rPr>
                <w:rFonts w:ascii="仿宋_GB2312" w:eastAsia="仿宋_GB2312" w:hAnsi="仿宋_GB2312" w:cs="仿宋_GB2312" w:hint="eastAsia"/>
                <w:color w:val="000000"/>
                <w:sz w:val="24"/>
              </w:rPr>
              <w:t>宗涉嫌非</w:t>
            </w:r>
            <w:r>
              <w:rPr>
                <w:rFonts w:ascii="仿宋_GB2312" w:eastAsia="仿宋_GB2312" w:hAnsi="仿宋_GB2312" w:cs="仿宋_GB2312" w:hint="eastAsia"/>
                <w:color w:val="000000"/>
                <w:sz w:val="24"/>
              </w:rPr>
              <w:t>法占地案件进行了立案查处；同时对临港汽车城擅自超出批准数量非法占地行为进行了查处，已结案</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宗，共收缴罚没款</w:t>
            </w:r>
            <w:r>
              <w:rPr>
                <w:rFonts w:ascii="仿宋_GB2312" w:eastAsia="仿宋_GB2312" w:hAnsi="仿宋_GB2312" w:cs="仿宋_GB2312" w:hint="eastAsia"/>
                <w:color w:val="000000"/>
                <w:sz w:val="24"/>
              </w:rPr>
              <w:t>13</w:t>
            </w:r>
            <w:r>
              <w:rPr>
                <w:rFonts w:ascii="仿宋_GB2312" w:eastAsia="仿宋_GB2312" w:hAnsi="仿宋_GB2312" w:cs="仿宋_GB2312" w:hint="eastAsia"/>
                <w:color w:val="000000"/>
                <w:sz w:val="24"/>
              </w:rPr>
              <w:t>万元。</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“大棚房”整治、违建别墅清查整改清查摸底和认定上报工作。</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国土调查合理预判地类属性，全面提取疑问图斑；推进新港区范围内土地利用现状和土地权属的调查工作，利用“互联网</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及内外业一体化调查技术，进行全面外业核查和图斑举证工作，实地核查每块土地的地类、位置、范围、面积等利用情况；同时在云溪和楼区分别建立国土调查数据库，依据最新调查成果统计数据流量，完成数据核查，向市、省三调办上报成果数据，</w:t>
            </w:r>
            <w:r>
              <w:rPr>
                <w:rFonts w:ascii="仿宋_GB2312" w:eastAsia="仿宋_GB2312" w:hAnsi="仿宋_GB2312" w:cs="仿宋_GB2312" w:hint="eastAsia"/>
                <w:color w:val="000000"/>
                <w:sz w:val="24"/>
              </w:rPr>
              <w:t>已完成新港区三调数据的建库、验收和上报工作</w:t>
            </w:r>
          </w:p>
          <w:p w:rsidR="00411280" w:rsidRDefault="00244CB8">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、党建工作：扎实开展“不忘初心、牢记使命”主题教育活动；着力提高队伍素质，树立自然资源部门良好形象</w:t>
            </w:r>
          </w:p>
        </w:tc>
      </w:tr>
      <w:tr w:rsidR="00411280">
        <w:trPr>
          <w:trHeight w:val="567"/>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411280">
        <w:trPr>
          <w:trHeight w:val="567"/>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411280">
        <w:trPr>
          <w:trHeight w:val="567"/>
          <w:jc w:val="center"/>
        </w:trPr>
        <w:tc>
          <w:tcPr>
            <w:tcW w:w="1946" w:type="dxa"/>
            <w:gridSpan w:val="3"/>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58" w:type="dxa"/>
            <w:gridSpan w:val="11"/>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411280">
        <w:trPr>
          <w:trHeight w:val="1014"/>
          <w:jc w:val="center"/>
        </w:trPr>
        <w:tc>
          <w:tcPr>
            <w:tcW w:w="1946" w:type="dxa"/>
            <w:gridSpan w:val="3"/>
            <w:vMerge/>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759"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845" w:type="dxa"/>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701" w:type="dxa"/>
            <w:gridSpan w:val="4"/>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398"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411280">
        <w:trPr>
          <w:trHeight w:val="772"/>
          <w:jc w:val="center"/>
        </w:trPr>
        <w:tc>
          <w:tcPr>
            <w:tcW w:w="1946" w:type="dxa"/>
            <w:gridSpan w:val="3"/>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845" w:type="dxa"/>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70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r>
      <w:tr w:rsidR="00411280">
        <w:trPr>
          <w:trHeight w:val="567"/>
          <w:jc w:val="center"/>
        </w:trPr>
        <w:tc>
          <w:tcPr>
            <w:tcW w:w="1946" w:type="dxa"/>
            <w:gridSpan w:val="3"/>
            <w:vAlign w:val="center"/>
          </w:tcPr>
          <w:p w:rsidR="00411280" w:rsidRDefault="00244CB8">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845" w:type="dxa"/>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70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r>
      <w:tr w:rsidR="00411280">
        <w:trPr>
          <w:trHeight w:val="567"/>
          <w:jc w:val="center"/>
        </w:trPr>
        <w:tc>
          <w:tcPr>
            <w:tcW w:w="1946" w:type="dxa"/>
            <w:gridSpan w:val="3"/>
            <w:vAlign w:val="center"/>
          </w:tcPr>
          <w:p w:rsidR="00411280" w:rsidRDefault="00244CB8">
            <w:pPr>
              <w:spacing w:line="320" w:lineRule="exact"/>
              <w:rPr>
                <w:rFonts w:ascii="仿宋_GB2312" w:eastAsia="仿宋_GB2312" w:hAnsi="仿宋_GB2312" w:cs="仿宋_GB2312"/>
                <w:sz w:val="24"/>
                <w:highlight w:val="yellow"/>
              </w:rPr>
            </w:pPr>
            <w:r>
              <w:rPr>
                <w:rFonts w:ascii="仿宋_GB2312" w:eastAsia="仿宋_GB2312" w:hAnsi="仿宋_GB2312" w:cs="仿宋_GB2312" w:hint="eastAsia"/>
                <w:sz w:val="24"/>
                <w:highlight w:val="yellow"/>
              </w:rPr>
              <w:t>2</w:t>
            </w:r>
            <w:r>
              <w:rPr>
                <w:rFonts w:ascii="仿宋_GB2312" w:eastAsia="仿宋_GB2312" w:hAnsi="仿宋_GB2312" w:cs="仿宋_GB2312" w:hint="eastAsia"/>
                <w:sz w:val="24"/>
                <w:highlight w:val="yellow"/>
              </w:rPr>
              <w:t>、二级机构</w:t>
            </w:r>
            <w:r>
              <w:rPr>
                <w:rFonts w:ascii="仿宋_GB2312" w:eastAsia="仿宋_GB2312" w:hAnsi="仿宋_GB2312" w:cs="仿宋_GB2312" w:hint="eastAsia"/>
                <w:sz w:val="24"/>
                <w:highlight w:val="yellow"/>
              </w:rPr>
              <w:t>1</w:t>
            </w:r>
          </w:p>
        </w:tc>
        <w:tc>
          <w:tcPr>
            <w:tcW w:w="1080" w:type="dxa"/>
            <w:tcBorders>
              <w:right w:val="single" w:sz="4" w:space="0" w:color="auto"/>
            </w:tcBorders>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highlight w:val="yellow"/>
              </w:rPr>
            </w:pPr>
            <w:r>
              <w:rPr>
                <w:rFonts w:ascii="仿宋_GB2312" w:eastAsia="仿宋_GB2312" w:hAnsi="仿宋_GB2312" w:cs="仿宋_GB2312" w:hint="eastAsia"/>
                <w:color w:val="000000"/>
                <w:sz w:val="24"/>
                <w:highlight w:val="yellow"/>
              </w:rPr>
              <w:t>310.95</w:t>
            </w:r>
          </w:p>
        </w:tc>
        <w:tc>
          <w:tcPr>
            <w:tcW w:w="1355" w:type="dxa"/>
            <w:gridSpan w:val="2"/>
            <w:tcBorders>
              <w:lef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759" w:type="dxa"/>
            <w:gridSpan w:val="2"/>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310.95</w:t>
            </w:r>
          </w:p>
        </w:tc>
        <w:tc>
          <w:tcPr>
            <w:tcW w:w="1845" w:type="dxa"/>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70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r>
      <w:tr w:rsidR="00411280">
        <w:trPr>
          <w:trHeight w:val="567"/>
          <w:jc w:val="center"/>
        </w:trPr>
        <w:tc>
          <w:tcPr>
            <w:tcW w:w="1946" w:type="dxa"/>
            <w:gridSpan w:val="3"/>
            <w:vAlign w:val="center"/>
          </w:tcPr>
          <w:p w:rsidR="00411280" w:rsidRDefault="00244CB8">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845" w:type="dxa"/>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170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left"/>
              <w:textAlignment w:val="center"/>
              <w:rPr>
                <w:rFonts w:ascii="仿宋_GB2312" w:eastAsia="仿宋_GB2312" w:hAnsi="仿宋_GB2312" w:cs="仿宋_GB2312"/>
                <w:color w:val="000000"/>
                <w:sz w:val="24"/>
              </w:rPr>
            </w:pPr>
          </w:p>
        </w:tc>
      </w:tr>
      <w:tr w:rsidR="00411280">
        <w:trPr>
          <w:trHeight w:val="624"/>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411280">
        <w:trPr>
          <w:trHeight w:val="624"/>
          <w:jc w:val="center"/>
        </w:trPr>
        <w:tc>
          <w:tcPr>
            <w:tcW w:w="1946" w:type="dxa"/>
            <w:gridSpan w:val="3"/>
            <w:vMerge w:val="restart"/>
            <w:vAlign w:val="center"/>
          </w:tcPr>
          <w:p w:rsidR="00411280" w:rsidRDefault="00244CB8">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60" w:type="dxa"/>
            <w:gridSpan w:val="9"/>
            <w:tcBorders>
              <w:left w:val="single" w:sz="4" w:space="0" w:color="auto"/>
              <w:bottom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98" w:type="dxa"/>
            <w:gridSpan w:val="2"/>
            <w:tcBorders>
              <w:left w:val="single" w:sz="4" w:space="0" w:color="auto"/>
              <w:bottom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411280">
        <w:trPr>
          <w:trHeight w:val="624"/>
          <w:jc w:val="center"/>
        </w:trPr>
        <w:tc>
          <w:tcPr>
            <w:tcW w:w="1946" w:type="dxa"/>
            <w:gridSpan w:val="3"/>
            <w:vMerge/>
            <w:vAlign w:val="center"/>
          </w:tcPr>
          <w:p w:rsidR="00411280" w:rsidRDefault="00411280">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152" w:type="dxa"/>
            <w:gridSpan w:val="5"/>
            <w:tcBorders>
              <w:top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53" w:type="dxa"/>
            <w:gridSpan w:val="2"/>
            <w:vMerge w:val="restart"/>
            <w:tcBorders>
              <w:top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35" w:type="dxa"/>
            <w:vMerge w:val="restart"/>
            <w:tcBorders>
              <w:top w:val="single" w:sz="4" w:space="0" w:color="auto"/>
              <w:left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c>
          <w:tcPr>
            <w:tcW w:w="663" w:type="dxa"/>
            <w:vMerge w:val="restart"/>
            <w:tcBorders>
              <w:top w:val="single" w:sz="4" w:space="0" w:color="auto"/>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411280">
        <w:trPr>
          <w:trHeight w:val="624"/>
          <w:jc w:val="center"/>
        </w:trPr>
        <w:tc>
          <w:tcPr>
            <w:tcW w:w="1946" w:type="dxa"/>
            <w:gridSpan w:val="3"/>
            <w:vMerge/>
            <w:vAlign w:val="center"/>
          </w:tcPr>
          <w:p w:rsidR="00411280" w:rsidRDefault="00411280">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393" w:type="dxa"/>
            <w:gridSpan w:val="3"/>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153" w:type="dxa"/>
            <w:gridSpan w:val="2"/>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35" w:type="dxa"/>
            <w:vMerge/>
            <w:tcBorders>
              <w:left w:val="single" w:sz="4" w:space="0" w:color="auto"/>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663" w:type="dxa"/>
            <w:vMerge/>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877"/>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153"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35"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663" w:type="dxa"/>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lastRenderedPageBreak/>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153"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35"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663" w:type="dxa"/>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288.12</w:t>
            </w:r>
          </w:p>
        </w:tc>
        <w:tc>
          <w:tcPr>
            <w:tcW w:w="1355"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12</w:t>
            </w:r>
          </w:p>
        </w:tc>
        <w:tc>
          <w:tcPr>
            <w:tcW w:w="759"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4</w:t>
            </w:r>
          </w:p>
        </w:tc>
        <w:tc>
          <w:tcPr>
            <w:tcW w:w="2393" w:type="dxa"/>
            <w:gridSpan w:val="3"/>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7</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72</w:t>
            </w:r>
          </w:p>
        </w:tc>
        <w:tc>
          <w:tcPr>
            <w:tcW w:w="1153"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33</w:t>
            </w:r>
          </w:p>
        </w:tc>
        <w:tc>
          <w:tcPr>
            <w:tcW w:w="735"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22.83</w:t>
            </w:r>
          </w:p>
        </w:tc>
        <w:tc>
          <w:tcPr>
            <w:tcW w:w="663" w:type="dxa"/>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153"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35"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663" w:type="dxa"/>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Merge w:val="restart"/>
            <w:vAlign w:val="center"/>
          </w:tcPr>
          <w:p w:rsidR="00411280" w:rsidRDefault="00244CB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58" w:type="dxa"/>
            <w:gridSpan w:val="11"/>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411280">
        <w:trPr>
          <w:trHeight w:val="624"/>
          <w:jc w:val="center"/>
        </w:trPr>
        <w:tc>
          <w:tcPr>
            <w:tcW w:w="1946" w:type="dxa"/>
            <w:gridSpan w:val="3"/>
            <w:vMerge/>
            <w:vAlign w:val="center"/>
          </w:tcPr>
          <w:p w:rsidR="00411280" w:rsidRDefault="00411280">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759"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393" w:type="dxa"/>
            <w:gridSpan w:val="3"/>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51" w:type="dxa"/>
            <w:gridSpan w:val="4"/>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411280">
        <w:trPr>
          <w:trHeight w:val="858"/>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55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55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Pr>
                <w:rFonts w:ascii="仿宋_GB2312" w:eastAsia="仿宋_GB2312" w:hAnsi="仿宋_GB2312" w:cs="仿宋_GB2312"/>
                <w:color w:val="000000"/>
                <w:sz w:val="24"/>
              </w:rPr>
              <w:t>.00</w:t>
            </w:r>
          </w:p>
        </w:tc>
        <w:tc>
          <w:tcPr>
            <w:tcW w:w="1355"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0.00</w:t>
            </w:r>
          </w:p>
        </w:tc>
        <w:tc>
          <w:tcPr>
            <w:tcW w:w="759"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0.00</w:t>
            </w:r>
          </w:p>
        </w:tc>
        <w:tc>
          <w:tcPr>
            <w:tcW w:w="2393" w:type="dxa"/>
            <w:gridSpan w:val="3"/>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0.00</w:t>
            </w:r>
          </w:p>
        </w:tc>
        <w:tc>
          <w:tcPr>
            <w:tcW w:w="2551" w:type="dxa"/>
            <w:gridSpan w:val="4"/>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0.00</w:t>
            </w: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759"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93" w:type="dxa"/>
            <w:gridSpan w:val="3"/>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551" w:type="dxa"/>
            <w:gridSpan w:val="4"/>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Merge w:val="restart"/>
            <w:vAlign w:val="center"/>
          </w:tcPr>
          <w:p w:rsidR="00411280" w:rsidRDefault="00244CB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5660" w:type="dxa"/>
            <w:gridSpan w:val="9"/>
            <w:tcBorders>
              <w:left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98" w:type="dxa"/>
            <w:gridSpan w:val="2"/>
            <w:vMerge w:val="restart"/>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411280">
        <w:trPr>
          <w:trHeight w:val="624"/>
          <w:jc w:val="center"/>
        </w:trPr>
        <w:tc>
          <w:tcPr>
            <w:tcW w:w="1946" w:type="dxa"/>
            <w:gridSpan w:val="3"/>
            <w:vMerge/>
            <w:vAlign w:val="center"/>
          </w:tcPr>
          <w:p w:rsidR="00411280" w:rsidRDefault="00411280">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114" w:type="dxa"/>
            <w:gridSpan w:val="4"/>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546" w:type="dxa"/>
            <w:gridSpan w:val="5"/>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398" w:type="dxa"/>
            <w:gridSpan w:val="2"/>
            <w:vMerge/>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855"/>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114" w:type="dxa"/>
            <w:gridSpan w:val="4"/>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546"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114" w:type="dxa"/>
            <w:gridSpan w:val="4"/>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546"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25.86</w:t>
            </w:r>
          </w:p>
        </w:tc>
        <w:tc>
          <w:tcPr>
            <w:tcW w:w="2114" w:type="dxa"/>
            <w:gridSpan w:val="4"/>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5.86</w:t>
            </w:r>
          </w:p>
        </w:tc>
        <w:tc>
          <w:tcPr>
            <w:tcW w:w="3546"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r>
              <w:rPr>
                <w:rFonts w:ascii="仿宋_GB2312" w:eastAsia="仿宋_GB2312" w:hAnsi="仿宋_GB2312" w:cs="仿宋_GB2312"/>
                <w:color w:val="000000"/>
                <w:sz w:val="24"/>
              </w:rPr>
              <w:t>.00</w:t>
            </w:r>
          </w:p>
        </w:tc>
        <w:tc>
          <w:tcPr>
            <w:tcW w:w="1398"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24"/>
          <w:jc w:val="center"/>
        </w:trPr>
        <w:tc>
          <w:tcPr>
            <w:tcW w:w="1946" w:type="dxa"/>
            <w:gridSpan w:val="3"/>
            <w:vAlign w:val="center"/>
          </w:tcPr>
          <w:p w:rsidR="00411280" w:rsidRDefault="00244CB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114" w:type="dxa"/>
            <w:gridSpan w:val="4"/>
            <w:tcBorders>
              <w:left w:val="single" w:sz="4" w:space="0" w:color="auto"/>
            </w:tcBorders>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546"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398"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567"/>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411280">
        <w:trPr>
          <w:trHeight w:val="567"/>
          <w:jc w:val="center"/>
        </w:trPr>
        <w:tc>
          <w:tcPr>
            <w:tcW w:w="1437" w:type="dxa"/>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03" w:type="dxa"/>
            <w:gridSpan w:val="7"/>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944" w:type="dxa"/>
            <w:gridSpan w:val="7"/>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411280">
        <w:trPr>
          <w:trHeight w:val="1172"/>
          <w:jc w:val="center"/>
        </w:trPr>
        <w:tc>
          <w:tcPr>
            <w:tcW w:w="1437" w:type="dxa"/>
            <w:vMerge/>
            <w:vAlign w:val="center"/>
          </w:tcPr>
          <w:p w:rsidR="00411280" w:rsidRDefault="00411280">
            <w:pPr>
              <w:spacing w:line="320" w:lineRule="exact"/>
              <w:rPr>
                <w:rFonts w:ascii="仿宋_GB2312" w:eastAsia="仿宋_GB2312" w:hAnsi="仿宋_GB2312" w:cs="仿宋_GB2312"/>
                <w:sz w:val="24"/>
              </w:rPr>
            </w:pPr>
            <w:bookmarkStart w:id="2" w:name="_Hlk49431338"/>
          </w:p>
        </w:tc>
        <w:tc>
          <w:tcPr>
            <w:tcW w:w="3703" w:type="dxa"/>
            <w:gridSpan w:val="7"/>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：有序按实完成</w:t>
            </w: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年度用地保障、城乡规划工作</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：建立国土调查数据库。</w:t>
            </w:r>
          </w:p>
        </w:tc>
        <w:tc>
          <w:tcPr>
            <w:tcW w:w="4944" w:type="dxa"/>
            <w:gridSpan w:val="7"/>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、分局认真贯彻落实新港区党工委、管委会及市局党组的工作部署，</w:t>
            </w: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年度用地保障、城乡规划工作逐步实施，为新港区经济社会持续健康发展提供了自然资源支撑和保障。</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、在云溪和楼区分别建立国土调查数据库，依据最新调查成果统计数据流量，完成数据核查，向市、省三调办上报成果数据，已完成新港区</w:t>
            </w:r>
            <w:r>
              <w:rPr>
                <w:rFonts w:ascii="仿宋_GB2312" w:eastAsia="仿宋_GB2312" w:hAnsi="仿宋_GB2312" w:cs="仿宋_GB2312" w:hint="eastAsia"/>
                <w:color w:val="000000"/>
                <w:sz w:val="24"/>
              </w:rPr>
              <w:lastRenderedPageBreak/>
              <w:t>三调数据的建库、验收和上报工作。</w:t>
            </w:r>
          </w:p>
        </w:tc>
      </w:tr>
      <w:bookmarkEnd w:id="2"/>
      <w:tr w:rsidR="00411280">
        <w:trPr>
          <w:trHeight w:val="567"/>
          <w:jc w:val="center"/>
        </w:trPr>
        <w:tc>
          <w:tcPr>
            <w:tcW w:w="1437" w:type="dxa"/>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77" w:type="dxa"/>
            <w:gridSpan w:val="6"/>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3686"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分值</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得分</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178" w:type="dxa"/>
            <w:gridSpan w:val="2"/>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：管理制度健全、</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6</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6</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ign w:val="center"/>
          </w:tcPr>
          <w:p w:rsidR="00411280" w:rsidRDefault="00411280">
            <w:pPr>
              <w:spacing w:line="320" w:lineRule="exact"/>
              <w:rPr>
                <w:rFonts w:ascii="仿宋_GB2312" w:eastAsia="仿宋_GB2312" w:hAnsi="仿宋_GB2312" w:cs="仿宋_GB2312"/>
                <w:sz w:val="24"/>
              </w:rPr>
            </w:pP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：资金使用合规</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6</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6</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：用地报批共组卷</w:t>
            </w:r>
            <w:r>
              <w:rPr>
                <w:rFonts w:ascii="仿宋_GB2312" w:eastAsia="仿宋_GB2312" w:hAnsi="仿宋_GB2312" w:cs="仿宋_GB2312" w:hint="eastAsia"/>
                <w:color w:val="000000"/>
                <w:sz w:val="24"/>
              </w:rPr>
              <w:t>18</w:t>
            </w:r>
            <w:r>
              <w:rPr>
                <w:rFonts w:ascii="仿宋_GB2312" w:eastAsia="仿宋_GB2312" w:hAnsi="仿宋_GB2312" w:cs="仿宋_GB2312" w:hint="eastAsia"/>
                <w:color w:val="000000"/>
                <w:sz w:val="24"/>
              </w:rPr>
              <w:t>个，面积</w:t>
            </w:r>
            <w:r>
              <w:rPr>
                <w:rFonts w:ascii="仿宋_GB2312" w:eastAsia="仿宋_GB2312" w:hAnsi="仿宋_GB2312" w:cs="仿宋_GB2312" w:hint="eastAsia"/>
                <w:color w:val="000000"/>
                <w:sz w:val="24"/>
              </w:rPr>
              <w:t>3785.5</w:t>
            </w:r>
            <w:r>
              <w:rPr>
                <w:rFonts w:ascii="仿宋_GB2312" w:eastAsia="仿宋_GB2312" w:hAnsi="仿宋_GB2312" w:cs="仿宋_GB2312" w:hint="eastAsia"/>
                <w:color w:val="000000"/>
                <w:sz w:val="24"/>
              </w:rPr>
              <w:t>亩、土地供应全年共挂牌土地</w:t>
            </w:r>
            <w:r>
              <w:rPr>
                <w:rFonts w:ascii="仿宋_GB2312" w:eastAsia="仿宋_GB2312" w:hAnsi="仿宋_GB2312" w:cs="仿宋_GB2312" w:hint="eastAsia"/>
                <w:color w:val="000000"/>
                <w:sz w:val="24"/>
              </w:rPr>
              <w:t>22</w:t>
            </w:r>
            <w:r>
              <w:rPr>
                <w:rFonts w:ascii="仿宋_GB2312" w:eastAsia="仿宋_GB2312" w:hAnsi="仿宋_GB2312" w:cs="仿宋_GB2312" w:hint="eastAsia"/>
                <w:color w:val="000000"/>
                <w:sz w:val="24"/>
              </w:rPr>
              <w:t>宗土地，总面积为</w:t>
            </w:r>
            <w:r>
              <w:rPr>
                <w:rFonts w:ascii="仿宋_GB2312" w:eastAsia="仿宋_GB2312" w:hAnsi="仿宋_GB2312" w:cs="仿宋_GB2312" w:hint="eastAsia"/>
                <w:color w:val="000000"/>
                <w:sz w:val="24"/>
              </w:rPr>
              <w:t>2989.56</w:t>
            </w:r>
            <w:r>
              <w:rPr>
                <w:rFonts w:ascii="仿宋_GB2312" w:eastAsia="仿宋_GB2312" w:hAnsi="仿宋_GB2312" w:cs="仿宋_GB2312" w:hint="eastAsia"/>
                <w:color w:val="000000"/>
                <w:sz w:val="24"/>
              </w:rPr>
              <w:t>亩。</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四个项目规划编制、规划审批三个竣工验收项目</w:t>
            </w:r>
          </w:p>
        </w:tc>
        <w:tc>
          <w:tcPr>
            <w:tcW w:w="586" w:type="dxa"/>
            <w:tcBorders>
              <w:righ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r>
      <w:tr w:rsidR="00411280">
        <w:trPr>
          <w:trHeight w:val="461"/>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ign w:val="center"/>
          </w:tcPr>
          <w:p w:rsidR="00411280" w:rsidRDefault="00411280">
            <w:pPr>
              <w:autoSpaceDN w:val="0"/>
              <w:spacing w:line="320" w:lineRule="exact"/>
              <w:jc w:val="center"/>
              <w:textAlignment w:val="center"/>
              <w:rPr>
                <w:rFonts w:ascii="仿宋_GB2312" w:eastAsia="仿宋_GB2312" w:hAnsi="仿宋_GB2312" w:cs="仿宋_GB2312"/>
                <w:sz w:val="24"/>
              </w:rPr>
            </w:pP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：控制违法用地数量和面积在较低的比例</w:t>
            </w:r>
          </w:p>
        </w:tc>
        <w:tc>
          <w:tcPr>
            <w:tcW w:w="586" w:type="dxa"/>
            <w:tcBorders>
              <w:righ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：按时完成</w:t>
            </w: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年度用地保障、城乡规划</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：建立国土调查数据库</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Merge/>
            <w:vAlign w:val="center"/>
          </w:tcPr>
          <w:p w:rsidR="00411280" w:rsidRDefault="00411280">
            <w:pPr>
              <w:autoSpaceDN w:val="0"/>
              <w:spacing w:line="320" w:lineRule="exact"/>
              <w:jc w:val="center"/>
              <w:textAlignment w:val="center"/>
              <w:rPr>
                <w:rFonts w:ascii="仿宋_GB2312" w:eastAsia="仿宋_GB2312" w:hAnsi="仿宋_GB2312" w:cs="仿宋_GB2312"/>
                <w:sz w:val="24"/>
              </w:rPr>
            </w:pP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：及时完成拨付项目资金</w:t>
            </w:r>
          </w:p>
        </w:tc>
        <w:tc>
          <w:tcPr>
            <w:tcW w:w="586" w:type="dxa"/>
            <w:tcBorders>
              <w:righ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6</w:t>
            </w:r>
          </w:p>
        </w:tc>
        <w:tc>
          <w:tcPr>
            <w:tcW w:w="1398" w:type="dxa"/>
            <w:gridSpan w:val="2"/>
            <w:tcBorders>
              <w:left w:val="single" w:sz="4" w:space="0" w:color="auto"/>
            </w:tcBorders>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6</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：部门整体支出≤预算数</w:t>
            </w: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r>
      <w:tr w:rsidR="00411280">
        <w:trPr>
          <w:trHeight w:val="615"/>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178" w:type="dxa"/>
            <w:gridSpan w:val="2"/>
            <w:vMerge w:val="restart"/>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3686" w:type="dxa"/>
            <w:gridSpan w:val="5"/>
            <w:tcBorders>
              <w:bottom w:val="single" w:sz="4" w:space="0" w:color="auto"/>
            </w:tcBorders>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：提供自然资源支撑和保障</w:t>
            </w:r>
          </w:p>
        </w:tc>
        <w:tc>
          <w:tcPr>
            <w:tcW w:w="586" w:type="dxa"/>
            <w:tcBorders>
              <w:bottom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bottom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7</w:t>
            </w:r>
          </w:p>
        </w:tc>
      </w:tr>
      <w:tr w:rsidR="00411280">
        <w:trPr>
          <w:trHeight w:val="330"/>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1178" w:type="dxa"/>
            <w:gridSpan w:val="2"/>
            <w:vMerge/>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686" w:type="dxa"/>
            <w:gridSpan w:val="5"/>
            <w:tcBorders>
              <w:top w:val="single" w:sz="4" w:space="0" w:color="auto"/>
              <w:bottom w:val="single" w:sz="4" w:space="0" w:color="auto"/>
            </w:tcBorders>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：建立国土调查数据库，健全信息管理系统</w:t>
            </w:r>
          </w:p>
        </w:tc>
        <w:tc>
          <w:tcPr>
            <w:tcW w:w="586" w:type="dxa"/>
            <w:tcBorders>
              <w:top w:val="single" w:sz="4" w:space="0" w:color="auto"/>
              <w:bottom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top w:val="single" w:sz="4" w:space="0" w:color="auto"/>
              <w:left w:val="single" w:sz="4" w:space="0" w:color="auto"/>
              <w:bottom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7</w:t>
            </w:r>
          </w:p>
        </w:tc>
      </w:tr>
      <w:tr w:rsidR="00411280">
        <w:trPr>
          <w:trHeight w:val="452"/>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3686" w:type="dxa"/>
            <w:gridSpan w:val="5"/>
            <w:tcBorders>
              <w:bottom w:val="single" w:sz="4" w:space="0" w:color="auto"/>
            </w:tcBorders>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：推进新港区重点项目征拆工作提供高效的服务</w:t>
            </w:r>
          </w:p>
        </w:tc>
        <w:tc>
          <w:tcPr>
            <w:tcW w:w="586" w:type="dxa"/>
            <w:tcBorders>
              <w:bottom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8</w:t>
            </w:r>
          </w:p>
        </w:tc>
        <w:tc>
          <w:tcPr>
            <w:tcW w:w="1398" w:type="dxa"/>
            <w:gridSpan w:val="2"/>
            <w:tcBorders>
              <w:left w:val="single" w:sz="4" w:space="0" w:color="auto"/>
              <w:bottom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8</w:t>
            </w:r>
          </w:p>
        </w:tc>
      </w:tr>
      <w:tr w:rsidR="00411280">
        <w:trPr>
          <w:trHeight w:val="483"/>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3686" w:type="dxa"/>
            <w:gridSpan w:val="5"/>
            <w:tcBorders>
              <w:bottom w:val="single" w:sz="4" w:space="0" w:color="auto"/>
            </w:tcBorders>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：推进土地利用现状和土地权属的调查工作</w:t>
            </w:r>
          </w:p>
        </w:tc>
        <w:tc>
          <w:tcPr>
            <w:tcW w:w="586" w:type="dxa"/>
            <w:tcBorders>
              <w:bottom w:val="single" w:sz="4" w:space="0" w:color="auto"/>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8</w:t>
            </w:r>
          </w:p>
        </w:tc>
        <w:tc>
          <w:tcPr>
            <w:tcW w:w="1398" w:type="dxa"/>
            <w:gridSpan w:val="2"/>
            <w:tcBorders>
              <w:left w:val="single" w:sz="4" w:space="0" w:color="auto"/>
              <w:bottom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6</w:t>
            </w:r>
          </w:p>
        </w:tc>
      </w:tr>
      <w:tr w:rsidR="00411280">
        <w:trPr>
          <w:trHeight w:val="454"/>
          <w:jc w:val="center"/>
        </w:trPr>
        <w:tc>
          <w:tcPr>
            <w:tcW w:w="1437" w:type="dxa"/>
            <w:vMerge/>
            <w:vAlign w:val="center"/>
          </w:tcPr>
          <w:p w:rsidR="00411280" w:rsidRDefault="00411280">
            <w:pPr>
              <w:spacing w:line="320" w:lineRule="exact"/>
              <w:rPr>
                <w:rFonts w:ascii="仿宋_GB2312" w:eastAsia="仿宋_GB2312" w:hAnsi="仿宋_GB2312" w:cs="仿宋_GB2312"/>
                <w:sz w:val="24"/>
              </w:rPr>
            </w:pPr>
          </w:p>
        </w:tc>
        <w:tc>
          <w:tcPr>
            <w:tcW w:w="1799" w:type="dxa"/>
            <w:gridSpan w:val="4"/>
            <w:vMerge/>
            <w:vAlign w:val="center"/>
          </w:tcPr>
          <w:p w:rsidR="00411280" w:rsidRDefault="00411280">
            <w:pPr>
              <w:autoSpaceDN w:val="0"/>
              <w:spacing w:line="320" w:lineRule="exact"/>
              <w:rPr>
                <w:rFonts w:ascii="仿宋_GB2312" w:eastAsia="仿宋_GB2312" w:hAnsi="仿宋_GB2312" w:cs="仿宋_GB2312"/>
                <w:sz w:val="24"/>
              </w:rPr>
            </w:pPr>
          </w:p>
        </w:tc>
        <w:tc>
          <w:tcPr>
            <w:tcW w:w="1178"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3686" w:type="dxa"/>
            <w:gridSpan w:val="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：满意度调查</w:t>
            </w:r>
          </w:p>
          <w:p w:rsidR="00411280" w:rsidRDefault="00411280">
            <w:pPr>
              <w:autoSpaceDN w:val="0"/>
              <w:spacing w:line="320" w:lineRule="exact"/>
              <w:jc w:val="left"/>
              <w:textAlignment w:val="center"/>
              <w:rPr>
                <w:rFonts w:ascii="仿宋_GB2312" w:eastAsia="仿宋_GB2312" w:hAnsi="仿宋_GB2312" w:cs="仿宋_GB2312"/>
                <w:color w:val="000000"/>
                <w:sz w:val="24"/>
              </w:rPr>
            </w:pPr>
          </w:p>
        </w:tc>
        <w:tc>
          <w:tcPr>
            <w:tcW w:w="586" w:type="dxa"/>
            <w:tcBorders>
              <w:righ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w:t>
            </w:r>
            <w:r>
              <w:rPr>
                <w:rFonts w:ascii="仿宋_GB2312" w:eastAsia="仿宋_GB2312" w:hAnsi="仿宋_GB2312" w:cs="仿宋_GB2312"/>
                <w:b/>
                <w:color w:val="000000"/>
                <w:sz w:val="24"/>
              </w:rPr>
              <w:t>0</w:t>
            </w:r>
          </w:p>
        </w:tc>
        <w:tc>
          <w:tcPr>
            <w:tcW w:w="1398" w:type="dxa"/>
            <w:gridSpan w:val="2"/>
            <w:tcBorders>
              <w:left w:val="single" w:sz="4" w:space="0" w:color="auto"/>
            </w:tcBorders>
            <w:vAlign w:val="center"/>
          </w:tcPr>
          <w:p w:rsidR="00411280" w:rsidRDefault="00244CB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10</w:t>
            </w:r>
          </w:p>
        </w:tc>
      </w:tr>
      <w:tr w:rsidR="00411280">
        <w:trPr>
          <w:trHeight w:val="567"/>
          <w:jc w:val="center"/>
        </w:trPr>
        <w:tc>
          <w:tcPr>
            <w:tcW w:w="3236"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48" w:type="dxa"/>
            <w:gridSpan w:val="10"/>
            <w:vAlign w:val="center"/>
          </w:tcPr>
          <w:p w:rsidR="00411280" w:rsidRDefault="00244CB8">
            <w:pPr>
              <w:autoSpaceDN w:val="0"/>
              <w:spacing w:line="320" w:lineRule="exact"/>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9</w:t>
            </w:r>
            <w:r>
              <w:rPr>
                <w:rFonts w:ascii="仿宋_GB2312" w:eastAsia="仿宋_GB2312" w:hAnsi="仿宋_GB2312" w:cs="仿宋_GB2312"/>
                <w:b/>
                <w:bCs/>
                <w:color w:val="000000"/>
                <w:sz w:val="24"/>
              </w:rPr>
              <w:t>6</w:t>
            </w:r>
          </w:p>
        </w:tc>
      </w:tr>
      <w:tr w:rsidR="00411280">
        <w:trPr>
          <w:trHeight w:val="567"/>
          <w:jc w:val="center"/>
        </w:trPr>
        <w:tc>
          <w:tcPr>
            <w:tcW w:w="3236"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48" w:type="dxa"/>
            <w:gridSpan w:val="10"/>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411280">
        <w:trPr>
          <w:trHeight w:val="680"/>
          <w:jc w:val="center"/>
        </w:trPr>
        <w:tc>
          <w:tcPr>
            <w:tcW w:w="10084" w:type="dxa"/>
            <w:gridSpan w:val="1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411280">
        <w:trPr>
          <w:trHeight w:val="567"/>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240" w:type="dxa"/>
            <w:gridSpan w:val="6"/>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237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2574" w:type="dxa"/>
            <w:gridSpan w:val="5"/>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411280">
        <w:trPr>
          <w:trHeight w:val="680"/>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李波</w:t>
            </w:r>
          </w:p>
        </w:tc>
        <w:tc>
          <w:tcPr>
            <w:tcW w:w="3240" w:type="dxa"/>
            <w:gridSpan w:val="6"/>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副局长</w:t>
            </w:r>
          </w:p>
        </w:tc>
        <w:tc>
          <w:tcPr>
            <w:tcW w:w="237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新港区资源</w:t>
            </w:r>
            <w:r>
              <w:rPr>
                <w:rFonts w:ascii="仿宋_GB2312" w:eastAsia="仿宋_GB2312" w:hAnsi="仿宋_GB2312" w:cs="仿宋_GB2312" w:hint="eastAsia"/>
                <w:color w:val="000000"/>
                <w:sz w:val="24"/>
              </w:rPr>
              <w:t>规划分局</w:t>
            </w:r>
          </w:p>
        </w:tc>
        <w:tc>
          <w:tcPr>
            <w:tcW w:w="2574"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80"/>
          <w:jc w:val="center"/>
        </w:trPr>
        <w:tc>
          <w:tcPr>
            <w:tcW w:w="190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李文</w:t>
            </w:r>
          </w:p>
        </w:tc>
        <w:tc>
          <w:tcPr>
            <w:tcW w:w="3240" w:type="dxa"/>
            <w:gridSpan w:val="6"/>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70" w:type="dxa"/>
            <w:gridSpan w:val="2"/>
            <w:vAlign w:val="center"/>
          </w:tcPr>
          <w:p w:rsidR="00411280" w:rsidRDefault="00244CB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新港区资源</w:t>
            </w:r>
            <w:r>
              <w:rPr>
                <w:rFonts w:ascii="仿宋_GB2312" w:eastAsia="仿宋_GB2312" w:hAnsi="仿宋_GB2312" w:cs="仿宋_GB2312" w:hint="eastAsia"/>
                <w:color w:val="000000"/>
                <w:sz w:val="24"/>
              </w:rPr>
              <w:t>规划分局</w:t>
            </w:r>
          </w:p>
        </w:tc>
        <w:tc>
          <w:tcPr>
            <w:tcW w:w="2574"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680"/>
          <w:jc w:val="center"/>
        </w:trPr>
        <w:tc>
          <w:tcPr>
            <w:tcW w:w="1900"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3240" w:type="dxa"/>
            <w:gridSpan w:val="6"/>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370" w:type="dxa"/>
            <w:gridSpan w:val="2"/>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c>
          <w:tcPr>
            <w:tcW w:w="2574" w:type="dxa"/>
            <w:gridSpan w:val="5"/>
            <w:vAlign w:val="center"/>
          </w:tcPr>
          <w:p w:rsidR="00411280" w:rsidRDefault="00411280">
            <w:pPr>
              <w:autoSpaceDN w:val="0"/>
              <w:spacing w:line="320" w:lineRule="exact"/>
              <w:jc w:val="center"/>
              <w:textAlignment w:val="center"/>
              <w:rPr>
                <w:rFonts w:ascii="仿宋_GB2312" w:eastAsia="仿宋_GB2312" w:hAnsi="仿宋_GB2312" w:cs="仿宋_GB2312"/>
                <w:color w:val="000000"/>
                <w:sz w:val="24"/>
              </w:rPr>
            </w:pPr>
          </w:p>
        </w:tc>
      </w:tr>
      <w:tr w:rsidR="00411280">
        <w:trPr>
          <w:trHeight w:val="2722"/>
          <w:jc w:val="center"/>
        </w:trPr>
        <w:tc>
          <w:tcPr>
            <w:tcW w:w="10084" w:type="dxa"/>
            <w:gridSpan w:val="1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2020</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color w:val="000000"/>
                <w:sz w:val="24"/>
              </w:rPr>
              <w:t>8</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411280">
        <w:trPr>
          <w:trHeight w:val="2722"/>
          <w:jc w:val="center"/>
        </w:trPr>
        <w:tc>
          <w:tcPr>
            <w:tcW w:w="10084" w:type="dxa"/>
            <w:gridSpan w:val="15"/>
            <w:vAlign w:val="center"/>
          </w:tcPr>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411280">
            <w:pPr>
              <w:autoSpaceDN w:val="0"/>
              <w:spacing w:line="320" w:lineRule="exact"/>
              <w:jc w:val="left"/>
              <w:textAlignment w:val="center"/>
              <w:rPr>
                <w:rFonts w:ascii="仿宋_GB2312" w:eastAsia="仿宋_GB2312" w:hAnsi="仿宋_GB2312" w:cs="仿宋_GB2312"/>
                <w:color w:val="000000"/>
                <w:sz w:val="24"/>
              </w:rPr>
            </w:pP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2020</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color w:val="000000"/>
                <w:sz w:val="24"/>
              </w:rPr>
              <w:t>8</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411280">
        <w:trPr>
          <w:trHeight w:val="2794"/>
          <w:jc w:val="center"/>
        </w:trPr>
        <w:tc>
          <w:tcPr>
            <w:tcW w:w="10084" w:type="dxa"/>
            <w:gridSpan w:val="15"/>
            <w:vAlign w:val="center"/>
          </w:tcPr>
          <w:p w:rsidR="00411280" w:rsidRDefault="00244CB8">
            <w:pPr>
              <w:spacing w:line="320" w:lineRule="exact"/>
              <w:rPr>
                <w:rFonts w:eastAsia="仿宋_GB2312"/>
                <w:sz w:val="24"/>
              </w:rPr>
            </w:pPr>
            <w:r>
              <w:rPr>
                <w:rFonts w:eastAsia="仿宋_GB2312" w:hint="eastAsia"/>
                <w:sz w:val="24"/>
              </w:rPr>
              <w:t>财政部门归口业务科室意见：</w:t>
            </w:r>
          </w:p>
          <w:p w:rsidR="00411280" w:rsidRDefault="00411280">
            <w:pPr>
              <w:spacing w:line="320" w:lineRule="exact"/>
              <w:rPr>
                <w:rFonts w:eastAsia="仿宋_GB2312"/>
                <w:sz w:val="24"/>
              </w:rPr>
            </w:pPr>
          </w:p>
          <w:p w:rsidR="00411280" w:rsidRDefault="00411280">
            <w:pPr>
              <w:spacing w:line="320" w:lineRule="exact"/>
              <w:rPr>
                <w:rFonts w:eastAsia="仿宋_GB2312"/>
                <w:sz w:val="24"/>
              </w:rPr>
            </w:pPr>
          </w:p>
          <w:p w:rsidR="00411280" w:rsidRDefault="00411280">
            <w:pPr>
              <w:spacing w:line="320" w:lineRule="exact"/>
              <w:rPr>
                <w:rFonts w:eastAsia="仿宋_GB2312"/>
                <w:sz w:val="24"/>
              </w:rPr>
            </w:pPr>
          </w:p>
          <w:p w:rsidR="00411280" w:rsidRDefault="00411280">
            <w:pPr>
              <w:spacing w:line="320" w:lineRule="exact"/>
              <w:rPr>
                <w:rFonts w:eastAsia="仿宋_GB2312"/>
                <w:sz w:val="24"/>
              </w:rPr>
            </w:pPr>
          </w:p>
          <w:p w:rsidR="00411280" w:rsidRDefault="00244CB8">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411280" w:rsidRDefault="00244CB8">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411280" w:rsidRDefault="00244CB8">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李文</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07308422997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411280">
        <w:trPr>
          <w:trHeight w:val="12998"/>
          <w:jc w:val="center"/>
        </w:trPr>
        <w:tc>
          <w:tcPr>
            <w:tcW w:w="9558" w:type="dxa"/>
          </w:tcPr>
          <w:p w:rsidR="00411280" w:rsidRDefault="00244CB8">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五、评价报告综述（文字部分）</w:t>
            </w:r>
          </w:p>
          <w:p w:rsidR="00411280" w:rsidRDefault="00411280">
            <w:pPr>
              <w:spacing w:line="440" w:lineRule="exact"/>
              <w:ind w:firstLineChars="200" w:firstLine="560"/>
              <w:rPr>
                <w:rFonts w:ascii="仿宋_GB2312" w:eastAsia="仿宋_GB2312" w:hAnsi="仿宋_GB2312" w:cs="仿宋_GB2312"/>
                <w:bCs/>
                <w:sz w:val="28"/>
                <w:szCs w:val="28"/>
              </w:rPr>
            </w:pP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一、部门（单位）概况</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岳阳市自然资源和规划局湖南城陵矶新港区分局</w:t>
            </w:r>
            <w:r>
              <w:rPr>
                <w:rFonts w:ascii="仿宋_GB2312" w:eastAsia="仿宋_GB2312" w:hAnsi="仿宋_GB2312" w:cs="仿宋_GB2312" w:hint="eastAsia"/>
                <w:bCs/>
                <w:sz w:val="28"/>
                <w:szCs w:val="28"/>
              </w:rPr>
              <w:t>负责湖南城陵矶新港区内的土地利用总体规划管理、建设用地报批、基准地价制定、地籍管理、土地出让和转让、国土资源违法案件查处、土地利用动态监测监管、国土资源信息管理、国土资源政策法规宣传。</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年部门预算包括本级预算和所含预算单位在内的汇总情况。本系统</w:t>
            </w: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没有政府性基金预算拨款和纳入专户管理的非税收入拨款收入，也没有使用政府性基金预算拨款和纳入专户管理的非税收入拨款安排的支出。收入包括经费拨款；支出包括保障单位基本运行的经费，也包括项目经</w:t>
            </w:r>
            <w:r>
              <w:rPr>
                <w:rFonts w:ascii="仿宋_GB2312" w:eastAsia="仿宋_GB2312" w:hAnsi="仿宋_GB2312" w:cs="仿宋_GB2312" w:hint="eastAsia"/>
                <w:bCs/>
                <w:sz w:val="28"/>
                <w:szCs w:val="28"/>
              </w:rPr>
              <w:t>费，无国有资本经营收支。</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二、部门（单位）整体支出管理及使用情况</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基本支出系保障管理处正常运转、完成日常工作任务而发生的各项支出，包括用于在职人员绩效等人员经费以及办公费、印刷费、差旅费、办公设备购置等日常公用经费</w:t>
            </w: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年基本支出</w:t>
            </w:r>
            <w:r>
              <w:rPr>
                <w:rFonts w:ascii="仿宋_GB2312" w:eastAsia="仿宋_GB2312" w:hAnsi="仿宋_GB2312" w:cs="仿宋_GB2312"/>
                <w:bCs/>
                <w:sz w:val="28"/>
                <w:szCs w:val="28"/>
              </w:rPr>
              <w:t>55</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12</w:t>
            </w:r>
            <w:r>
              <w:rPr>
                <w:rFonts w:ascii="仿宋_GB2312" w:eastAsia="仿宋_GB2312" w:hAnsi="仿宋_GB2312" w:cs="仿宋_GB2312" w:hint="eastAsia"/>
                <w:bCs/>
                <w:sz w:val="28"/>
                <w:szCs w:val="28"/>
              </w:rPr>
              <w:t>万元（人员支出</w:t>
            </w:r>
            <w:r>
              <w:rPr>
                <w:rFonts w:ascii="仿宋_GB2312" w:eastAsia="仿宋_GB2312" w:hAnsi="仿宋_GB2312" w:cs="仿宋_GB2312"/>
                <w:bCs/>
                <w:sz w:val="28"/>
                <w:szCs w:val="28"/>
              </w:rPr>
              <w:t>27</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万元、公用支出</w:t>
            </w:r>
            <w:r>
              <w:rPr>
                <w:rFonts w:ascii="仿宋_GB2312" w:eastAsia="仿宋_GB2312" w:hAnsi="仿宋_GB2312" w:cs="仿宋_GB2312"/>
                <w:bCs/>
                <w:sz w:val="28"/>
                <w:szCs w:val="28"/>
              </w:rPr>
              <w:t>27</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72</w:t>
            </w:r>
            <w:r>
              <w:rPr>
                <w:rFonts w:ascii="仿宋_GB2312" w:eastAsia="仿宋_GB2312" w:hAnsi="仿宋_GB2312" w:cs="仿宋_GB2312" w:hint="eastAsia"/>
                <w:bCs/>
                <w:sz w:val="28"/>
                <w:szCs w:val="28"/>
              </w:rPr>
              <w:t>万元）；</w:t>
            </w:r>
          </w:p>
          <w:p w:rsidR="00411280" w:rsidRDefault="00244CB8" w:rsidP="0071004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年项目支出土地出让服务安排</w:t>
            </w:r>
            <w:r>
              <w:rPr>
                <w:rFonts w:ascii="仿宋_GB2312" w:eastAsia="仿宋_GB2312" w:hAnsi="仿宋_GB2312" w:cs="仿宋_GB2312" w:hint="eastAsia"/>
                <w:bCs/>
                <w:sz w:val="28"/>
                <w:szCs w:val="28"/>
              </w:rPr>
              <w:t>216</w:t>
            </w:r>
            <w:r>
              <w:rPr>
                <w:rFonts w:ascii="仿宋_GB2312" w:eastAsia="仿宋_GB2312" w:hAnsi="仿宋_GB2312" w:cs="仿宋_GB2312" w:hint="eastAsia"/>
                <w:bCs/>
                <w:sz w:val="28"/>
                <w:szCs w:val="28"/>
              </w:rPr>
              <w:t>万元；岳阳临港高新区申报安排</w:t>
            </w:r>
            <w:r>
              <w:rPr>
                <w:rFonts w:ascii="仿宋_GB2312" w:eastAsia="仿宋_GB2312" w:hAnsi="仿宋_GB2312" w:cs="仿宋_GB2312" w:hint="eastAsia"/>
                <w:bCs/>
                <w:sz w:val="28"/>
                <w:szCs w:val="28"/>
              </w:rPr>
              <w:t>17</w:t>
            </w:r>
            <w:r>
              <w:rPr>
                <w:rFonts w:ascii="仿宋_GB2312" w:eastAsia="仿宋_GB2312" w:hAnsi="仿宋_GB2312" w:cs="仿宋_GB2312" w:hint="eastAsia"/>
                <w:bCs/>
                <w:sz w:val="28"/>
                <w:szCs w:val="28"/>
              </w:rPr>
              <w:t>万元）。主要用于土地房产的规划测绘、评估委托业务费用。</w:t>
            </w:r>
          </w:p>
          <w:p w:rsidR="00710044" w:rsidRDefault="00710044">
            <w:pPr>
              <w:spacing w:line="560" w:lineRule="exact"/>
              <w:ind w:firstLineChars="200" w:firstLine="560"/>
              <w:rPr>
                <w:rFonts w:ascii="仿宋_GB2312" w:eastAsia="仿宋_GB2312" w:hAnsi="仿宋_GB2312" w:cs="仿宋_GB2312" w:hint="eastAsia"/>
                <w:bCs/>
                <w:sz w:val="28"/>
                <w:szCs w:val="28"/>
              </w:rPr>
            </w:pPr>
          </w:p>
          <w:p w:rsidR="00411280" w:rsidRDefault="0071004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三</w:t>
            </w:r>
            <w:r w:rsidR="00244CB8">
              <w:rPr>
                <w:rFonts w:ascii="仿宋_GB2312" w:eastAsia="仿宋_GB2312" w:hAnsi="仿宋_GB2312" w:cs="仿宋_GB2312" w:hint="eastAsia"/>
                <w:bCs/>
                <w:sz w:val="28"/>
                <w:szCs w:val="28"/>
              </w:rPr>
              <w:t>、部门（单位）整体支出绩效情况</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根据《湖南省财政厅关于开展</w:t>
            </w: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年度省级财政资金绩效自评工作的通知》的相关规定，在基础数据分析及处理的基础上，湖南城陵矶新港区国土资源管理处</w:t>
            </w:r>
            <w:r>
              <w:rPr>
                <w:rFonts w:ascii="仿宋_GB2312" w:eastAsia="仿宋_GB2312" w:hAnsi="仿宋_GB2312" w:cs="仿宋_GB2312" w:hint="eastAsia"/>
                <w:bCs/>
                <w:sz w:val="28"/>
                <w:szCs w:val="28"/>
              </w:rPr>
              <w:t>2019</w:t>
            </w:r>
            <w:r>
              <w:rPr>
                <w:rFonts w:ascii="仿宋_GB2312" w:eastAsia="仿宋_GB2312" w:hAnsi="仿宋_GB2312" w:cs="仿宋_GB2312" w:hint="eastAsia"/>
                <w:bCs/>
                <w:sz w:val="28"/>
                <w:szCs w:val="28"/>
              </w:rPr>
              <w:t>年度部门整体支出自评价综合得分为</w:t>
            </w:r>
            <w:r>
              <w:rPr>
                <w:rFonts w:ascii="仿宋_GB2312" w:eastAsia="仿宋_GB2312" w:hAnsi="仿宋_GB2312" w:cs="仿宋_GB2312" w:hint="eastAsia"/>
                <w:bCs/>
                <w:sz w:val="28"/>
                <w:szCs w:val="28"/>
              </w:rPr>
              <w:t>9</w:t>
            </w:r>
            <w:r>
              <w:rPr>
                <w:rFonts w:ascii="仿宋_GB2312" w:eastAsia="仿宋_GB2312" w:hAnsi="仿宋_GB2312" w:cs="仿宋_GB2312"/>
                <w:bCs/>
                <w:sz w:val="28"/>
                <w:szCs w:val="28"/>
              </w:rPr>
              <w:t>6</w:t>
            </w:r>
            <w:r>
              <w:rPr>
                <w:rFonts w:ascii="仿宋_GB2312" w:eastAsia="仿宋_GB2312" w:hAnsi="仿宋_GB2312" w:cs="仿宋_GB2312" w:hint="eastAsia"/>
                <w:bCs/>
                <w:sz w:val="28"/>
                <w:szCs w:val="28"/>
              </w:rPr>
              <w:t>分，其中、产出指标类得分为</w:t>
            </w:r>
            <w:r>
              <w:rPr>
                <w:rFonts w:ascii="仿宋_GB2312" w:eastAsia="仿宋_GB2312" w:hAnsi="仿宋_GB2312" w:cs="仿宋_GB2312" w:hint="eastAsia"/>
                <w:bCs/>
                <w:sz w:val="28"/>
                <w:szCs w:val="28"/>
              </w:rPr>
              <w:t>5</w:t>
            </w:r>
            <w:r>
              <w:rPr>
                <w:rFonts w:ascii="仿宋_GB2312" w:eastAsia="仿宋_GB2312" w:hAnsi="仿宋_GB2312" w:cs="仿宋_GB2312"/>
                <w:bCs/>
                <w:sz w:val="28"/>
                <w:szCs w:val="28"/>
              </w:rPr>
              <w:t xml:space="preserve">8 </w:t>
            </w:r>
            <w:r>
              <w:rPr>
                <w:rFonts w:ascii="仿宋_GB2312" w:eastAsia="仿宋_GB2312" w:hAnsi="仿宋_GB2312" w:cs="仿宋_GB2312" w:hint="eastAsia"/>
                <w:bCs/>
                <w:sz w:val="28"/>
                <w:szCs w:val="28"/>
              </w:rPr>
              <w:t>分、效益指标类得分为</w:t>
            </w:r>
            <w:r>
              <w:rPr>
                <w:rFonts w:ascii="仿宋_GB2312" w:eastAsia="仿宋_GB2312" w:hAnsi="仿宋_GB2312" w:cs="仿宋_GB2312"/>
                <w:bCs/>
                <w:sz w:val="28"/>
                <w:szCs w:val="28"/>
              </w:rPr>
              <w:t>28</w:t>
            </w:r>
            <w:r>
              <w:rPr>
                <w:rFonts w:ascii="仿宋_GB2312" w:eastAsia="仿宋_GB2312" w:hAnsi="仿宋_GB2312" w:cs="仿宋_GB2312" w:hint="eastAsia"/>
                <w:bCs/>
                <w:sz w:val="28"/>
                <w:szCs w:val="28"/>
              </w:rPr>
              <w:t>分、满意度指标得分为</w:t>
            </w:r>
            <w:r>
              <w:rPr>
                <w:rFonts w:ascii="仿宋_GB2312" w:eastAsia="仿宋_GB2312" w:hAnsi="仿宋_GB2312" w:cs="仿宋_GB2312" w:hint="eastAsia"/>
                <w:bCs/>
                <w:sz w:val="28"/>
                <w:szCs w:val="28"/>
              </w:rPr>
              <w:t>10</w:t>
            </w:r>
            <w:r>
              <w:rPr>
                <w:rFonts w:ascii="仿宋_GB2312" w:eastAsia="仿宋_GB2312" w:hAnsi="仿宋_GB2312" w:cs="仿宋_GB2312" w:hint="eastAsia"/>
                <w:bCs/>
                <w:sz w:val="28"/>
                <w:szCs w:val="28"/>
              </w:rPr>
              <w:t>分。</w:t>
            </w:r>
          </w:p>
          <w:p w:rsidR="00411280" w:rsidRDefault="0071004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w:t>
            </w:r>
            <w:r w:rsidR="00244CB8">
              <w:rPr>
                <w:rFonts w:ascii="仿宋_GB2312" w:eastAsia="仿宋_GB2312" w:hAnsi="仿宋_GB2312" w:cs="仿宋_GB2312" w:hint="eastAsia"/>
                <w:bCs/>
                <w:sz w:val="28"/>
                <w:szCs w:val="28"/>
              </w:rPr>
              <w:t>、存在的主要问题</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（一）财务管理方面</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岳阳市自然资源和规划局湖南城陵矶新港区分局</w:t>
            </w:r>
            <w:r>
              <w:rPr>
                <w:rFonts w:ascii="仿宋_GB2312" w:eastAsia="仿宋_GB2312" w:hAnsi="仿宋_GB2312" w:cs="仿宋_GB2312" w:hint="eastAsia"/>
                <w:bCs/>
                <w:sz w:val="28"/>
                <w:szCs w:val="28"/>
              </w:rPr>
              <w:t>为市自然资源和规划局、湖南城陵矶新港区双重管理单位，自</w:t>
            </w:r>
            <w:r>
              <w:rPr>
                <w:rFonts w:ascii="仿宋_GB2312" w:eastAsia="仿宋_GB2312" w:hAnsi="仿宋_GB2312" w:cs="仿宋_GB2312" w:hint="eastAsia"/>
                <w:bCs/>
                <w:sz w:val="28"/>
                <w:szCs w:val="28"/>
              </w:rPr>
              <w:t>2013</w:t>
            </w:r>
            <w:r>
              <w:rPr>
                <w:rFonts w:ascii="仿宋_GB2312" w:eastAsia="仿宋_GB2312" w:hAnsi="仿宋_GB2312" w:cs="仿宋_GB2312" w:hint="eastAsia"/>
                <w:bCs/>
                <w:sz w:val="28"/>
                <w:szCs w:val="28"/>
              </w:rPr>
              <w:t>年成立至今，根据相关文件规定，我分局人员经费由市财政按年度预算拨付，专项工作经费由新港区财政预算拨付，由于经费来源渠道不同，市财政资金和新港区财政资金未合并记账，财务核算未统一管理。</w:t>
            </w:r>
          </w:p>
          <w:p w:rsidR="00411280" w:rsidRDefault="00244CB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（二）历史遗留问题多，由于以前规划工作管理不规范等原因，部分项目存在未批先建，部分审批环节、审批文件缺失等情况，按法定程序进行审批，难度较大。</w:t>
            </w:r>
          </w:p>
          <w:p w:rsidR="00411280" w:rsidRDefault="0071004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w:t>
            </w:r>
            <w:r w:rsidR="00244CB8">
              <w:rPr>
                <w:rFonts w:ascii="仿宋_GB2312" w:eastAsia="仿宋_GB2312" w:hAnsi="仿宋_GB2312" w:cs="仿宋_GB2312" w:hint="eastAsia"/>
                <w:bCs/>
                <w:sz w:val="28"/>
                <w:szCs w:val="28"/>
              </w:rPr>
              <w:t>、改进措施和有关建议</w:t>
            </w:r>
          </w:p>
          <w:p w:rsidR="00411280" w:rsidRDefault="00244CB8">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（一）严格执行财务管理制度</w:t>
            </w:r>
          </w:p>
          <w:p w:rsidR="00411280" w:rsidRDefault="00244CB8">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业务经办人填制费用报销单，费用报销单应按规定填写项目名称、支出内容、支出金额等，确保要素齐全，内容真实完整，并附相应单据。经办人对经济业务、单据的真实性、合规性负责。</w:t>
            </w:r>
          </w:p>
          <w:p w:rsidR="00411280" w:rsidRDefault="00244CB8">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（二）加大力度做好用地保障工作</w:t>
            </w:r>
          </w:p>
          <w:p w:rsidR="00411280" w:rsidRDefault="00244CB8">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以保障重点项目的建设为首要任务，积极盘活存量建设用地，采取协商收回、协议置换、自行开发等多种形式推进城镇低效用地二次开发。其次在</w:t>
            </w:r>
            <w:r>
              <w:rPr>
                <w:rFonts w:ascii="仿宋_GB2312" w:eastAsia="仿宋_GB2312" w:hAnsi="仿宋_GB2312" w:cs="仿宋_GB2312" w:hint="eastAsia"/>
                <w:bCs/>
                <w:sz w:val="28"/>
                <w:szCs w:val="28"/>
              </w:rPr>
              <w:lastRenderedPageBreak/>
              <w:t>用地报批工作上找准发力点，提前解决耕地占补平衡指标和建设用地指标两大难题，按照“好而优又快则先”的原则，确保重点产业和保障性安居工程等民生项目用地需求。</w:t>
            </w:r>
          </w:p>
        </w:tc>
      </w:tr>
    </w:tbl>
    <w:p w:rsidR="00411280" w:rsidRDefault="00411280">
      <w:pPr>
        <w:spacing w:line="348" w:lineRule="auto"/>
      </w:pPr>
    </w:p>
    <w:sectPr w:rsidR="00411280" w:rsidSect="0041128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B8" w:rsidRDefault="00244CB8" w:rsidP="00411280">
      <w:r>
        <w:separator/>
      </w:r>
    </w:p>
  </w:endnote>
  <w:endnote w:type="continuationSeparator" w:id="1">
    <w:p w:rsidR="00244CB8" w:rsidRDefault="00244CB8" w:rsidP="00411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80" w:rsidRDefault="00411280">
    <w:pPr>
      <w:framePr w:wrap="around" w:vAnchor="text" w:hAnchor="margin" w:xAlign="outside" w:y="1"/>
    </w:pPr>
    <w:r>
      <w:fldChar w:fldCharType="begin"/>
    </w:r>
    <w:r w:rsidR="00244CB8">
      <w:instrText xml:space="preserve">PAGE  </w:instrText>
    </w:r>
    <w:r>
      <w:fldChar w:fldCharType="separate"/>
    </w:r>
    <w:r w:rsidR="00244CB8">
      <w:t>- 15 -</w:t>
    </w:r>
    <w:r>
      <w:fldChar w:fldCharType="end"/>
    </w:r>
  </w:p>
  <w:p w:rsidR="00411280" w:rsidRDefault="0041128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80" w:rsidRDefault="00244CB8">
    <w:pPr>
      <w:pStyle w:val="a3"/>
      <w:framePr w:wrap="around" w:vAnchor="text" w:hAnchor="margin" w:xAlign="outside" w:y="1"/>
      <w:rPr>
        <w:rStyle w:val="a6"/>
        <w:sz w:val="24"/>
        <w:szCs w:val="24"/>
      </w:rPr>
    </w:pPr>
    <w:r>
      <w:rPr>
        <w:rStyle w:val="a6"/>
        <w:rFonts w:hint="eastAsia"/>
        <w:sz w:val="24"/>
        <w:szCs w:val="24"/>
      </w:rPr>
      <w:t>—</w:t>
    </w:r>
    <w:r>
      <w:rPr>
        <w:rStyle w:val="a6"/>
        <w:rFonts w:hint="eastAsia"/>
        <w:sz w:val="24"/>
        <w:szCs w:val="24"/>
      </w:rPr>
      <w:t xml:space="preserve"> </w:t>
    </w:r>
    <w:r w:rsidR="00411280">
      <w:rPr>
        <w:sz w:val="24"/>
        <w:szCs w:val="24"/>
      </w:rPr>
      <w:fldChar w:fldCharType="begin"/>
    </w:r>
    <w:r>
      <w:rPr>
        <w:rStyle w:val="a6"/>
        <w:sz w:val="24"/>
        <w:szCs w:val="24"/>
      </w:rPr>
      <w:instrText xml:space="preserve">PAGE  </w:instrText>
    </w:r>
    <w:r w:rsidR="00411280">
      <w:rPr>
        <w:sz w:val="24"/>
        <w:szCs w:val="24"/>
      </w:rPr>
      <w:fldChar w:fldCharType="separate"/>
    </w:r>
    <w:r w:rsidR="00710044">
      <w:rPr>
        <w:rStyle w:val="a6"/>
        <w:noProof/>
        <w:sz w:val="24"/>
        <w:szCs w:val="24"/>
      </w:rPr>
      <w:t>9</w:t>
    </w:r>
    <w:r w:rsidR="00411280">
      <w:rPr>
        <w:sz w:val="24"/>
        <w:szCs w:val="24"/>
      </w:rPr>
      <w:fldChar w:fldCharType="end"/>
    </w:r>
    <w:r>
      <w:rPr>
        <w:rStyle w:val="a6"/>
        <w:rFonts w:hint="eastAsia"/>
        <w:sz w:val="24"/>
        <w:szCs w:val="24"/>
      </w:rPr>
      <w:t xml:space="preserve"> </w:t>
    </w:r>
    <w:r>
      <w:rPr>
        <w:rStyle w:val="a6"/>
        <w:rFonts w:hint="eastAsia"/>
        <w:sz w:val="24"/>
        <w:szCs w:val="24"/>
      </w:rPr>
      <w:t>—</w:t>
    </w:r>
  </w:p>
  <w:p w:rsidR="00411280" w:rsidRDefault="0041128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B8" w:rsidRDefault="00244CB8" w:rsidP="00411280">
      <w:r>
        <w:separator/>
      </w:r>
    </w:p>
  </w:footnote>
  <w:footnote w:type="continuationSeparator" w:id="1">
    <w:p w:rsidR="00244CB8" w:rsidRDefault="00244CB8" w:rsidP="00411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443"/>
    <w:rsid w:val="00014D8E"/>
    <w:rsid w:val="000279ED"/>
    <w:rsid w:val="00061601"/>
    <w:rsid w:val="000A391C"/>
    <w:rsid w:val="000F0227"/>
    <w:rsid w:val="001202F3"/>
    <w:rsid w:val="0016236A"/>
    <w:rsid w:val="00180538"/>
    <w:rsid w:val="001C2C28"/>
    <w:rsid w:val="001C754A"/>
    <w:rsid w:val="002064EC"/>
    <w:rsid w:val="00215B6E"/>
    <w:rsid w:val="00244CB8"/>
    <w:rsid w:val="00250551"/>
    <w:rsid w:val="002A3193"/>
    <w:rsid w:val="002D120A"/>
    <w:rsid w:val="002D5983"/>
    <w:rsid w:val="0030166A"/>
    <w:rsid w:val="003367E9"/>
    <w:rsid w:val="003476DA"/>
    <w:rsid w:val="003A1E10"/>
    <w:rsid w:val="003F088E"/>
    <w:rsid w:val="00411280"/>
    <w:rsid w:val="00423320"/>
    <w:rsid w:val="004240FF"/>
    <w:rsid w:val="00454827"/>
    <w:rsid w:val="00482845"/>
    <w:rsid w:val="004C25F6"/>
    <w:rsid w:val="004C3E3F"/>
    <w:rsid w:val="004D614F"/>
    <w:rsid w:val="00596FC3"/>
    <w:rsid w:val="005E097C"/>
    <w:rsid w:val="00613443"/>
    <w:rsid w:val="00622F05"/>
    <w:rsid w:val="00645863"/>
    <w:rsid w:val="006473EA"/>
    <w:rsid w:val="0065307D"/>
    <w:rsid w:val="0067761A"/>
    <w:rsid w:val="00710044"/>
    <w:rsid w:val="00776B33"/>
    <w:rsid w:val="008414D7"/>
    <w:rsid w:val="008632EB"/>
    <w:rsid w:val="008C17AC"/>
    <w:rsid w:val="008E5219"/>
    <w:rsid w:val="00904F2A"/>
    <w:rsid w:val="00947080"/>
    <w:rsid w:val="009747EC"/>
    <w:rsid w:val="00982A13"/>
    <w:rsid w:val="00985063"/>
    <w:rsid w:val="009855D7"/>
    <w:rsid w:val="009A1266"/>
    <w:rsid w:val="009B6D37"/>
    <w:rsid w:val="009D33BB"/>
    <w:rsid w:val="009F3F37"/>
    <w:rsid w:val="00A73528"/>
    <w:rsid w:val="00AC7FB1"/>
    <w:rsid w:val="00B32822"/>
    <w:rsid w:val="00BD2079"/>
    <w:rsid w:val="00C6316C"/>
    <w:rsid w:val="00C80A67"/>
    <w:rsid w:val="00CA4FA9"/>
    <w:rsid w:val="00CB05AB"/>
    <w:rsid w:val="00D94146"/>
    <w:rsid w:val="00DF0504"/>
    <w:rsid w:val="00DF112D"/>
    <w:rsid w:val="00E40635"/>
    <w:rsid w:val="00E51F46"/>
    <w:rsid w:val="00E57528"/>
    <w:rsid w:val="00E57536"/>
    <w:rsid w:val="00E7777A"/>
    <w:rsid w:val="00E84FD2"/>
    <w:rsid w:val="00E90323"/>
    <w:rsid w:val="00E90400"/>
    <w:rsid w:val="00E96497"/>
    <w:rsid w:val="00EF56C9"/>
    <w:rsid w:val="00F2502C"/>
    <w:rsid w:val="00F317DE"/>
    <w:rsid w:val="00F807ED"/>
    <w:rsid w:val="00F84FDE"/>
    <w:rsid w:val="00FC2347"/>
    <w:rsid w:val="00FD42F0"/>
    <w:rsid w:val="00FE4ABD"/>
    <w:rsid w:val="1DC74538"/>
    <w:rsid w:val="3F5F07E9"/>
    <w:rsid w:val="4E340670"/>
    <w:rsid w:val="7FEB7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qFormat/>
    <w:rsid w:val="00411280"/>
    <w:pPr>
      <w:ind w:firstLineChars="200" w:firstLine="588"/>
    </w:pPr>
    <w:rPr>
      <w:rFonts w:ascii="仿宋_GB2312" w:eastAsia="仿宋_GB2312" w:hAnsi="Calibri" w:cs="Times New Roman"/>
      <w:sz w:val="32"/>
      <w:szCs w:val="24"/>
    </w:rPr>
  </w:style>
  <w:style w:type="paragraph" w:styleId="a3">
    <w:name w:val="footer"/>
    <w:basedOn w:val="a"/>
    <w:link w:val="Char"/>
    <w:unhideWhenUsed/>
    <w:qFormat/>
    <w:rsid w:val="00411280"/>
    <w:pPr>
      <w:tabs>
        <w:tab w:val="center" w:pos="4153"/>
        <w:tab w:val="right" w:pos="8306"/>
      </w:tabs>
      <w:snapToGrid w:val="0"/>
      <w:jc w:val="left"/>
    </w:pPr>
    <w:rPr>
      <w:sz w:val="18"/>
      <w:szCs w:val="18"/>
    </w:rPr>
  </w:style>
  <w:style w:type="paragraph" w:styleId="a4">
    <w:name w:val="header"/>
    <w:basedOn w:val="a"/>
    <w:link w:val="Char0"/>
    <w:uiPriority w:val="99"/>
    <w:unhideWhenUsed/>
    <w:rsid w:val="0041128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411280"/>
    <w:pPr>
      <w:widowControl/>
      <w:spacing w:before="100" w:beforeAutospacing="1" w:after="100" w:afterAutospacing="1"/>
      <w:jc w:val="left"/>
    </w:pPr>
    <w:rPr>
      <w:rFonts w:ascii="宋体" w:eastAsia="宋体" w:hAnsi="宋体" w:cs="宋体"/>
      <w:kern w:val="0"/>
      <w:sz w:val="24"/>
      <w:szCs w:val="24"/>
    </w:rPr>
  </w:style>
  <w:style w:type="character" w:styleId="a6">
    <w:name w:val="page number"/>
    <w:qFormat/>
    <w:rsid w:val="00411280"/>
  </w:style>
  <w:style w:type="character" w:styleId="a7">
    <w:name w:val="Hyperlink"/>
    <w:basedOn w:val="a0"/>
    <w:uiPriority w:val="99"/>
    <w:unhideWhenUsed/>
    <w:rsid w:val="00411280"/>
    <w:rPr>
      <w:color w:val="0000FF" w:themeColor="hyperlink"/>
      <w:u w:val="single"/>
    </w:rPr>
  </w:style>
  <w:style w:type="character" w:customStyle="1" w:styleId="Char0">
    <w:name w:val="页眉 Char"/>
    <w:basedOn w:val="a0"/>
    <w:link w:val="a4"/>
    <w:uiPriority w:val="99"/>
    <w:rsid w:val="00411280"/>
    <w:rPr>
      <w:sz w:val="18"/>
      <w:szCs w:val="18"/>
    </w:rPr>
  </w:style>
  <w:style w:type="character" w:customStyle="1" w:styleId="Char">
    <w:name w:val="页脚 Char"/>
    <w:basedOn w:val="a0"/>
    <w:link w:val="a3"/>
    <w:rsid w:val="00411280"/>
    <w:rPr>
      <w:sz w:val="18"/>
      <w:szCs w:val="18"/>
    </w:rPr>
  </w:style>
  <w:style w:type="character" w:customStyle="1" w:styleId="3CharChar">
    <w:name w:val="标题 3 Char Char"/>
    <w:qFormat/>
    <w:rsid w:val="00411280"/>
    <w:rPr>
      <w:rFonts w:eastAsia="楷体_GB2312"/>
      <w:b/>
      <w:kern w:val="2"/>
      <w:sz w:val="32"/>
      <w:szCs w:val="24"/>
      <w:lang w:val="en-US" w:eastAsia="zh-CN" w:bidi="ar-SA"/>
    </w:rPr>
  </w:style>
  <w:style w:type="character" w:customStyle="1" w:styleId="2Char">
    <w:name w:val="正文文本缩进 2 Char"/>
    <w:basedOn w:val="a0"/>
    <w:link w:val="2"/>
    <w:rsid w:val="00411280"/>
    <w:rPr>
      <w:rFonts w:ascii="仿宋_GB2312" w:eastAsia="仿宋_GB2312" w:hAnsi="Calibri"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515E58-FABD-4B8B-8804-159218914F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44</cp:revision>
  <dcterms:created xsi:type="dcterms:W3CDTF">2020-07-30T08:03:00Z</dcterms:created>
  <dcterms:modified xsi:type="dcterms:W3CDTF">2020-08-31T07:04:00Z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