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750" w:hRule="atLeast"/>
          <w:tblCellSpacing w:w="0" w:type="dxa"/>
          <w:jc w:val="center"/>
        </w:trPr>
        <w:tc>
          <w:tcPr>
            <w:tcW w:w="8306" w:type="dxa"/>
            <w:shd w:val="clear"/>
            <w:vAlign w:val="center"/>
          </w:tcPr>
          <w:p>
            <w:pPr>
              <w:keepNext w:val="0"/>
              <w:keepLines w:val="0"/>
              <w:widowControl/>
              <w:suppressLineNumbers w:val="0"/>
              <w:spacing w:line="750" w:lineRule="atLeast"/>
              <w:ind w:left="0" w:firstLine="0"/>
              <w:jc w:val="center"/>
              <w:rPr>
                <w:rFonts w:hint="eastAsia" w:ascii="宋体" w:hAnsi="宋体" w:eastAsia="宋体" w:cs="宋体"/>
                <w:b w:val="0"/>
                <w:i w:val="0"/>
                <w:caps w:val="0"/>
                <w:color w:val="006699"/>
                <w:spacing w:val="0"/>
                <w:sz w:val="27"/>
                <w:szCs w:val="27"/>
              </w:rPr>
            </w:pPr>
            <w:r>
              <w:rPr>
                <w:rStyle w:val="4"/>
                <w:rFonts w:hint="eastAsia" w:ascii="宋体" w:hAnsi="宋体" w:eastAsia="宋体" w:cs="宋体"/>
                <w:i w:val="0"/>
                <w:caps w:val="0"/>
                <w:color w:val="006699"/>
                <w:spacing w:val="0"/>
                <w:kern w:val="0"/>
                <w:sz w:val="27"/>
                <w:szCs w:val="27"/>
                <w:lang w:val="en-US" w:eastAsia="zh-CN" w:bidi="ar"/>
              </w:rPr>
              <w:t>岳阳市安全生产监督管理局关于印发《岳阳市安全生产“十三五”规划》的通知</w:t>
            </w: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shd w:val="clear"/>
                <w:tblLayout w:type="fixed"/>
                <w:tblCellMar>
                  <w:top w:w="0" w:type="dxa"/>
                  <w:left w:w="0" w:type="dxa"/>
                  <w:bottom w:w="0" w:type="dxa"/>
                  <w:right w:w="0" w:type="dxa"/>
                </w:tblCellMar>
              </w:tblPrEx>
              <w:trPr>
                <w:trHeight w:val="375" w:hRule="atLeast"/>
                <w:tblCellSpacing w:w="0" w:type="dxa"/>
                <w:jc w:val="center"/>
              </w:trPr>
              <w:tc>
                <w:tcPr>
                  <w:tcW w:w="7475" w:type="dxa"/>
                  <w:shd w:val="clear" w:color="auto" w:fill="F3F3F3"/>
                  <w:vAlign w:val="center"/>
                </w:tcPr>
                <w:p>
                  <w:pPr>
                    <w:keepNext w:val="0"/>
                    <w:keepLines w:val="0"/>
                    <w:widowControl/>
                    <w:suppressLineNumbers w:val="0"/>
                    <w:shd w:val="clear" w:fill="F3F3F3"/>
                    <w:spacing w:line="375" w:lineRule="atLeast"/>
                    <w:jc w:val="center"/>
                    <w:rPr>
                      <w:sz w:val="18"/>
                      <w:szCs w:val="18"/>
                    </w:rPr>
                  </w:pPr>
                  <w:r>
                    <w:rPr>
                      <w:rFonts w:ascii="宋体" w:hAnsi="宋体" w:eastAsia="宋体" w:cs="宋体"/>
                      <w:kern w:val="0"/>
                      <w:sz w:val="18"/>
                      <w:szCs w:val="18"/>
                      <w:lang w:val="en-US" w:eastAsia="zh-CN" w:bidi="ar"/>
                    </w:rPr>
                    <w:t>编稿时间：2017-04-05    来源： 市安监局    作者： 安监局    字体： </w:t>
                  </w:r>
                  <w:r>
                    <w:rPr>
                      <w:rFonts w:ascii="宋体" w:hAnsi="宋体" w:eastAsia="宋体" w:cs="宋体"/>
                      <w:color w:val="252525"/>
                      <w:kern w:val="0"/>
                      <w:sz w:val="18"/>
                      <w:szCs w:val="18"/>
                      <w:u w:val="none"/>
                      <w:lang w:val="en-US" w:eastAsia="zh-CN" w:bidi="ar"/>
                    </w:rPr>
                    <w:fldChar w:fldCharType="begin"/>
                  </w:r>
                  <w:r>
                    <w:rPr>
                      <w:rFonts w:ascii="宋体" w:hAnsi="宋体" w:eastAsia="宋体" w:cs="宋体"/>
                      <w:color w:val="252525"/>
                      <w:kern w:val="0"/>
                      <w:sz w:val="18"/>
                      <w:szCs w:val="18"/>
                      <w:u w:val="none"/>
                      <w:lang w:val="en-US" w:eastAsia="zh-CN" w:bidi="ar"/>
                    </w:rPr>
                    <w:instrText xml:space="preserve"> HYPERLINK "http://ajj.yueyang.gov.cn/6031/6069/javascript:doZoom(18)" </w:instrText>
                  </w:r>
                  <w:r>
                    <w:rPr>
                      <w:rFonts w:ascii="宋体" w:hAnsi="宋体" w:eastAsia="宋体" w:cs="宋体"/>
                      <w:color w:val="252525"/>
                      <w:kern w:val="0"/>
                      <w:sz w:val="18"/>
                      <w:szCs w:val="18"/>
                      <w:u w:val="none"/>
                      <w:lang w:val="en-US" w:eastAsia="zh-CN" w:bidi="ar"/>
                    </w:rPr>
                    <w:fldChar w:fldCharType="separate"/>
                  </w:r>
                  <w:r>
                    <w:rPr>
                      <w:rStyle w:val="5"/>
                      <w:rFonts w:ascii="宋体" w:hAnsi="宋体" w:eastAsia="宋体" w:cs="宋体"/>
                      <w:color w:val="252525"/>
                      <w:sz w:val="18"/>
                      <w:szCs w:val="18"/>
                      <w:u w:val="none"/>
                    </w:rPr>
                    <w:t>大</w:t>
                  </w:r>
                  <w:r>
                    <w:rPr>
                      <w:rFonts w:ascii="宋体" w:hAnsi="宋体" w:eastAsia="宋体" w:cs="宋体"/>
                      <w:color w:val="252525"/>
                      <w:kern w:val="0"/>
                      <w:sz w:val="18"/>
                      <w:szCs w:val="18"/>
                      <w:u w:val="none"/>
                      <w:lang w:val="en-US" w:eastAsia="zh-CN" w:bidi="ar"/>
                    </w:rPr>
                    <w:fldChar w:fldCharType="end"/>
                  </w:r>
                  <w:r>
                    <w:rPr>
                      <w:rFonts w:ascii="宋体" w:hAnsi="宋体" w:eastAsia="宋体" w:cs="宋体"/>
                      <w:kern w:val="0"/>
                      <w:sz w:val="18"/>
                      <w:szCs w:val="18"/>
                      <w:lang w:val="en-US" w:eastAsia="zh-CN" w:bidi="ar"/>
                    </w:rPr>
                    <w:t> </w:t>
                  </w:r>
                  <w:r>
                    <w:rPr>
                      <w:rFonts w:ascii="宋体" w:hAnsi="宋体" w:eastAsia="宋体" w:cs="宋体"/>
                      <w:color w:val="252525"/>
                      <w:kern w:val="0"/>
                      <w:sz w:val="18"/>
                      <w:szCs w:val="18"/>
                      <w:u w:val="none"/>
                      <w:lang w:val="en-US" w:eastAsia="zh-CN" w:bidi="ar"/>
                    </w:rPr>
                    <w:fldChar w:fldCharType="begin"/>
                  </w:r>
                  <w:r>
                    <w:rPr>
                      <w:rFonts w:ascii="宋体" w:hAnsi="宋体" w:eastAsia="宋体" w:cs="宋体"/>
                      <w:color w:val="252525"/>
                      <w:kern w:val="0"/>
                      <w:sz w:val="18"/>
                      <w:szCs w:val="18"/>
                      <w:u w:val="none"/>
                      <w:lang w:val="en-US" w:eastAsia="zh-CN" w:bidi="ar"/>
                    </w:rPr>
                    <w:instrText xml:space="preserve"> HYPERLINK "http://ajj.yueyang.gov.cn/6031/6069/javascript:doZoom(14)" </w:instrText>
                  </w:r>
                  <w:r>
                    <w:rPr>
                      <w:rFonts w:ascii="宋体" w:hAnsi="宋体" w:eastAsia="宋体" w:cs="宋体"/>
                      <w:color w:val="252525"/>
                      <w:kern w:val="0"/>
                      <w:sz w:val="18"/>
                      <w:szCs w:val="18"/>
                      <w:u w:val="none"/>
                      <w:lang w:val="en-US" w:eastAsia="zh-CN" w:bidi="ar"/>
                    </w:rPr>
                    <w:fldChar w:fldCharType="separate"/>
                  </w:r>
                  <w:r>
                    <w:rPr>
                      <w:rStyle w:val="5"/>
                      <w:rFonts w:ascii="宋体" w:hAnsi="宋体" w:eastAsia="宋体" w:cs="宋体"/>
                      <w:color w:val="252525"/>
                      <w:sz w:val="18"/>
                      <w:szCs w:val="18"/>
                      <w:u w:val="none"/>
                    </w:rPr>
                    <w:t>中</w:t>
                  </w:r>
                  <w:r>
                    <w:rPr>
                      <w:rFonts w:ascii="宋体" w:hAnsi="宋体" w:eastAsia="宋体" w:cs="宋体"/>
                      <w:color w:val="252525"/>
                      <w:kern w:val="0"/>
                      <w:sz w:val="18"/>
                      <w:szCs w:val="18"/>
                      <w:u w:val="none"/>
                      <w:lang w:val="en-US" w:eastAsia="zh-CN" w:bidi="ar"/>
                    </w:rPr>
                    <w:fldChar w:fldCharType="end"/>
                  </w:r>
                  <w:r>
                    <w:rPr>
                      <w:rFonts w:ascii="宋体" w:hAnsi="宋体" w:eastAsia="宋体" w:cs="宋体"/>
                      <w:kern w:val="0"/>
                      <w:sz w:val="18"/>
                      <w:szCs w:val="18"/>
                      <w:lang w:val="en-US" w:eastAsia="zh-CN" w:bidi="ar"/>
                    </w:rPr>
                    <w:t> </w:t>
                  </w:r>
                  <w:r>
                    <w:rPr>
                      <w:rFonts w:ascii="宋体" w:hAnsi="宋体" w:eastAsia="宋体" w:cs="宋体"/>
                      <w:color w:val="252525"/>
                      <w:kern w:val="0"/>
                      <w:sz w:val="18"/>
                      <w:szCs w:val="18"/>
                      <w:u w:val="none"/>
                      <w:lang w:val="en-US" w:eastAsia="zh-CN" w:bidi="ar"/>
                    </w:rPr>
                    <w:fldChar w:fldCharType="begin"/>
                  </w:r>
                  <w:r>
                    <w:rPr>
                      <w:rFonts w:ascii="宋体" w:hAnsi="宋体" w:eastAsia="宋体" w:cs="宋体"/>
                      <w:color w:val="252525"/>
                      <w:kern w:val="0"/>
                      <w:sz w:val="18"/>
                      <w:szCs w:val="18"/>
                      <w:u w:val="none"/>
                      <w:lang w:val="en-US" w:eastAsia="zh-CN" w:bidi="ar"/>
                    </w:rPr>
                    <w:instrText xml:space="preserve"> HYPERLINK "http://ajj.yueyang.gov.cn/6031/6069/javascript:doZoom(12)" </w:instrText>
                  </w:r>
                  <w:r>
                    <w:rPr>
                      <w:rFonts w:ascii="宋体" w:hAnsi="宋体" w:eastAsia="宋体" w:cs="宋体"/>
                      <w:color w:val="252525"/>
                      <w:kern w:val="0"/>
                      <w:sz w:val="18"/>
                      <w:szCs w:val="18"/>
                      <w:u w:val="none"/>
                      <w:lang w:val="en-US" w:eastAsia="zh-CN" w:bidi="ar"/>
                    </w:rPr>
                    <w:fldChar w:fldCharType="separate"/>
                  </w:r>
                  <w:r>
                    <w:rPr>
                      <w:rStyle w:val="5"/>
                      <w:rFonts w:ascii="宋体" w:hAnsi="宋体" w:eastAsia="宋体" w:cs="宋体"/>
                      <w:color w:val="252525"/>
                      <w:sz w:val="18"/>
                      <w:szCs w:val="18"/>
                      <w:u w:val="none"/>
                    </w:rPr>
                    <w:t>小</w:t>
                  </w:r>
                  <w:r>
                    <w:rPr>
                      <w:rFonts w:ascii="宋体" w:hAnsi="宋体" w:eastAsia="宋体" w:cs="宋体"/>
                      <w:color w:val="252525"/>
                      <w:kern w:val="0"/>
                      <w:sz w:val="18"/>
                      <w:szCs w:val="18"/>
                      <w:u w:val="none"/>
                      <w:lang w:val="en-US" w:eastAsia="zh-CN" w:bidi="ar"/>
                    </w:rPr>
                    <w:fldChar w:fldCharType="end"/>
                  </w:r>
                </w:p>
              </w:tc>
            </w:tr>
          </w:tbl>
          <w:p>
            <w:pPr>
              <w:spacing w:line="375" w:lineRule="atLeast"/>
              <w:jc w:val="center"/>
              <w:rPr>
                <w:rFonts w:hint="eastAsia" w:ascii="宋体" w:hAnsi="宋体" w:eastAsia="宋体" w:cs="宋体"/>
                <w:b w:val="0"/>
                <w:i w:val="0"/>
                <w:caps w:val="0"/>
                <w:color w:val="000000"/>
                <w:spacing w:val="0"/>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 </w:t>
            </w:r>
          </w:p>
        </w:tc>
      </w:tr>
      <w:tr>
        <w:tblPrEx>
          <w:shd w:val="clear"/>
          <w:tblLayout w:type="fixed"/>
          <w:tblCellMar>
            <w:top w:w="0" w:type="dxa"/>
            <w:left w:w="0" w:type="dxa"/>
            <w:bottom w:w="0" w:type="dxa"/>
            <w:right w:w="0" w:type="dxa"/>
          </w:tblCellMar>
        </w:tblPrEx>
        <w:trPr>
          <w:trHeight w:val="750" w:hRule="atLeast"/>
          <w:tblCellSpacing w:w="0" w:type="dxa"/>
          <w:jc w:val="center"/>
        </w:trPr>
        <w:tc>
          <w:tcPr>
            <w:tcW w:w="8306" w:type="dxa"/>
            <w:shd w:val="clear"/>
            <w:vAlign w:val="center"/>
          </w:tcPr>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21"/>
                      <w:szCs w:val="21"/>
                      <w:bdr w:val="none" w:color="auto" w:sz="0" w:space="0"/>
                    </w:rPr>
                    <w:t>岳阳市安全生产监督管理局关于印发《岳阳市安全生产“十三五”规划》的通知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21"/>
                      <w:szCs w:val="21"/>
                      <w:bdr w:val="none" w:color="auto" w:sz="0" w:space="0"/>
                    </w:rPr>
                    <w:t>岳市安监〔2017〕31号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各县市区人民政府，岳阳经济技术开发区、城陵矶新港区、南湖新区、屈原管理区，市直有关单位，中央、省属驻岳各单位：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    经报市人民政府同意，现将《岳阳市安全生产“十三五”规划》印发给你们，请按照执行。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2"/>
                      <w:szCs w:val="22"/>
                      <w:bdr w:val="none" w:color="auto" w:sz="0" w:space="0"/>
                    </w:rPr>
                    <w:t>                                                                     岳阳市安全生产监督管理局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                                                                         2017年3月28日</w:t>
                  </w:r>
                </w:p>
                <w:p>
                  <w:pPr>
                    <w:keepNext w:val="0"/>
                    <w:keepLines w:val="0"/>
                    <w:widowControl/>
                    <w:suppressLineNumbers w:val="0"/>
                    <w:spacing w:line="450" w:lineRule="atLeast"/>
                    <w:jc w:val="left"/>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21"/>
                      <w:szCs w:val="21"/>
                      <w:bdr w:val="none" w:color="auto" w:sz="0" w:space="0"/>
                    </w:rPr>
                    <w:t>岳阳市安全生产“十三五”规划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21"/>
                      <w:szCs w:val="21"/>
                      <w:bdr w:val="none" w:color="auto" w:sz="0" w:space="0"/>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为了有效防范生产安全事故的发生，保障人民群众生命财产安全，推动全市经济社会持续健康安全发展，根据《中华人民共和国安全生产法》，《中共中央国务院关于推进安全生产领域改革发展的意见》（中发〔2016〕32号）和《岳阳市国民经济和社会发展第十三个五年规划纲要》，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本《规划》主要包括安全生产现状与面临的形势、指导思想与规划目标、主要任务与重大举措、重点工程和规划实施的保障措施等五个部分，是我市“十三五”期间安全生产工作的指导性文件。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一、安全生产现状与面临的形势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十二五”期间，全市认真贯彻落实省委、省政府和市委、市政府关于安全生产工作的决策部署，坚持“安全第一、预防为主、综合治理”的方针，紧紧围绕“十二五”规划，组织开展一系列安全生产活动，全市的安全生产工作取得了明显成效。“十二五”期间生产安全事故五项指标全面下降（其中工矿商贸行业2012年数据统计口径发生变化，以2012年度数据作为基数值计算累计降幅），生产安全事故得到有效遏制，重特大事故发生起数实现零的目标。</w:t>
                  </w:r>
                </w:p>
                <w:tbl>
                  <w:tblPr>
                    <w:tblW w:w="8291"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662"/>
                    <w:gridCol w:w="1408"/>
                    <w:gridCol w:w="892"/>
                    <w:gridCol w:w="892"/>
                    <w:gridCol w:w="892"/>
                    <w:gridCol w:w="892"/>
                    <w:gridCol w:w="892"/>
                    <w:gridCol w:w="892"/>
                    <w:gridCol w:w="86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8291"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岳阳市安全生产“十二五”规划指标完成情况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序号</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指标名称</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2010年</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2011年</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2012年</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2013年</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2014年</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2015年</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累计降幅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亿元国内生产总值生产安全事故死亡率</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0.105</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0.079</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0.061</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0.023</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0.016</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0.012</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下降165%，完成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工矿商贸从业人员十万人生产安全事故死亡率</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0.498</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0.488</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0.69</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0.63</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0.57</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0.532</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下降26%， 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道路交通万车死亡率</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3.38</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3.38</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2.13</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1.3</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1.38</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0.94</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下降102%，完成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4</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重特大事故起数</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0</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w:t>
                        </w:r>
                      </w:p>
                    </w:tc>
                    <w:tc>
                      <w:tcPr>
                        <w:tcW w:w="14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水上交通事故死亡和失踪人数</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11</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4</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7</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w:t>
                        </w:r>
                      </w:p>
                    </w:tc>
                    <w:tc>
                      <w:tcPr>
                        <w:tcW w:w="869"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下降89%， 完成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（二）开展的主要工作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加强安全生产制度建设。市委、市政府高度重视安全生产工作，始终把安全生产工作放在第一位。针对安全生产工作不断变化的新形势、新特点、新要求，先后制定并实施了一系列文件，为安全生产工作提供了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健全安全生产控制指标体系。健全与完善了安全生产控制指标体系。建立了市级领导安全生产联县市区、联系统、联战线的目标指标分工责任制。健全了安全生产责任考核体系。将安全生产工作纳入了目标管理考核体系，并全面推行了安全生产“一岗双责”和“一票否决”制度以及安全事故预警和问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增强安全生产保障能力。“十二五”期间，我市各级党委政府将安全生产的保障能力建设作为保稳定、保增长、保民生的重要举措，各有关部门、各承保公司和各有关企业密切配合，强化措施，积极推进安全生产责任险工作的落实，有效化解了参保企业风险，为企业发展和社会稳定发挥了重要作用。各地加大投入提高安全生产专项经费，设立隐患治理专项资金，给安全生产工作的正常运转提供了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4、推行并实施安全生产标准化建设。分行业拟定了安全标准化实施方案，指导全市重点行业领域企业开展安全标准化建设，截止2015年12月份，全市有819家企业完成了安全标准化达标的建设，其中危险化学品、非煤矿山、烟花爆竹生产企业、道路旅客运输企业达标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5、开展安全专项整治活动，强化隐患治理与打非治违。“十二五”期间，我市持续开展了非煤矿山、危险化学品、烟花爆竹、水上和道路交通、消防、建筑施工、特种设备等安全专项整治活动，有效打击各类非法违法生产经营行为。同时还开展了粉尘防爆、涉氨制冷和有限空间作业场所安全生产专项整治行动，有效地规范了涉危场所作业环节管理。全力抓好油气管道隐患整治工作。建立了隐患治理常态化机制，实现了隐患治理项目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6、强化安全培训与宣传教育。推进安全培训改革，全面实行教考分离。全市共设有考点3个，培训机构15家。特种作业人员和安全管理人员均实行计算机上网联机考试。多种形式宣传和传播安全文化和安全理念，强化全员安全意识，提升全员安全技能。“十二五”期间举办了各类安全培训班，培训人员达40万人次。以全国“安全生产月”、《安全生产法》宣传、《职业病防治法》宣传周等活动为契机开展安全宣传文化品牌活动，宣贯安全生产法律法规，传播安全知识，提高市民法律意识及安全防范意识。在各企业开展危化、矿山、烟花爆竹和消防等应急救援演练20余次，各企业应急救援能力有了大幅度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7、持续开展安全生产示范创建工作。“十二五”期间，我市共成功创建省级示范乡镇50家、市级示范乡镇110家、省级建筑施工安全质量标准化示范工程157个和示范工地334个、市级建筑施工安全质量标准示范工地382个，我市示范创建工作位居全省市州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（三）存在的主要问题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企业安全生产主体责任落实不到位。部分企业安全生产责任制没有落到实处，重生产轻安全思想严重。安全生产规章制度不完善，安全管理机构不健全，安全隐患排查治理不彻底，从业人员安全教育培训不到位，安全生产投入不足，“三非”、“三违”、“三超”现象仍然突出，生产安全事故仍有发生，事故总量仍然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企业安全生产基础薄弱。部分企业负责人安全生产意识淡薄、理念不新，安全管理粗放。个别企业安全生产欠账严重，生产工艺技术落后，安全生产设备设施不达标，防范措施不严，劳动保护措施、个体防护用品不全，自动化程度不高，安全生产水平偏低，安全风险依然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企业安全管理人员严重不足。部分企业一味追求利润最大化，未能按照法律法规要求配备安全管理人员。一些企业安全管理人员严重缺乏，造成企业安全生产工作“没人管、不会管”，企业安全管理处于无序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4、安全生产监管体制机制有待完善。安全监管职能未能真正得到发挥，有关部门没有按照“管行业必须管安全、管业务必须管安全、管生产经营必须管安全”的要求履行法定职责，有推诿扯皮的现象。安全生产业务素质有待提高，专业人员较为匮乏。基层安监机构建设滞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5、重点行业领域安全生产隐患依然存在。我市除危险化学品、烟花爆竹、非煤矿山三大主要安全生产领域的责任压力大外，相关重点行业领域的问题仍不少。油气管道领域，历史遗留问题较多。交通领域，还存在着路面管控力度不大、超载、违章等安全隐患整治不力、道路安全基础设施薄弱等问题，道路交通依然是事故高发领域。水上航运管理体制不顺畅，监管不到位。建筑工程领域未经审批开工建设、无资质企业施工、无证人员上岗、违规建设施工等现象依然存在。消防安全方面，城乡居民住房火灾多发，形势依然不容乐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6、安全教育培训工作有待进一步加强。目前的安全生产教育培训缺乏广泛性、针对性和实用性。全社会参与安全生产的氛围尚未真正形成，群众参与安全生产的自觉性和主动性不强。企业重效益、轻安全的现象仍然存在，企业管理人员违章指挥、从业人员违规作业和违反劳动纪律等现象还时有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7、职业卫生和行业安全监管有待加强。一些地方部门对职业卫生和行业安全监管工作认识不高、重视不够。部分地方政府、监管部门和企业既没有将职业卫生和工贸行业安全监管工作作为重点工作予以研究部署，也没有真正将其纳入安全生产目标管理体系进行严格考核。企业职业病防治和安全生产基础薄弱，安全保障水平低，监管工作难度大，任务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8、生产安全事故应急救援能力有待提升。公共服务能力不够，地方救援能力明显不足，特别是化工园区企业集中区域。我市其他重点安全领域，如非煤矿山、烟花爆竹、水上交通等同样也存在救援力量不足的情况，尤其是处置突发生产安全事故能力差。主要存在应急救援指挥体系功能不齐备、装备落后、物资储备不足、应急救援预案未及时修改完善、预案演练走过场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（四）面临的形势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我市是湖南省安全监管任务繁重的市州之一，高危行业集中，过往车船频繁、涉危企业较多，其中云溪区、临湘市、平江县分别是全国60个危险化学品、全国22个烟花爆竹和全省12个非煤矿山安全生产攻坚克难县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十二五”期末，全市登记注册生产经营单位27153家,其中非煤矿山279座（其中尾矿库79座）。烟花爆竹生产企业72家，批发企业25家，零售经营单位4890家。危险化学品生产经营企业1008家（其中生产企业56家、储存经营使用单位616家、各类加油站336家）。全市危险化学品重大危险源52处。危化品及输油管线总长度1021公里。建筑施工企业378家。民爆物品生产企业3家。全市公路总里程20280公里，其中高速公路315公里，桥梁2917座，隧道17处。通航航道1274公里，每年船舶总流量近30万艘次。港口岸线471公里，已建成规模以上码头泊位178个，渡口210处，年渡运量超过1000万人次。危险品码头12处，年进出港燃油等危险品710万吨。采砂船100多艘，运砂船1000余艘，每年外运砂石超过1亿吨。全市机动车保有量53.7万辆，特种设备2.01万台（套），全市各类农业机械保有量达71.3万台（套）。消防安全管理重点单位1028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尽管“十二五”期间全市安全生产开展了大量工作、取得了不少进步，但是我市涉危企业多，安全生产隐患突出。随着岳阳市国民经济和社会发展第十三个五年规划纲要的发布，各项建设加速推进，正处于生产安全事故易发多发期，面临的形势依然严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二、指导思想与规划目标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全面贯彻党的十八大和十八届三中、四中、五中、六中全会精神，以邓小平理论、“三个代表”重要思想、科学发展观为指导，深入贯彻习近平总书记系列重要讲话精神和治国理政新理念新思想新战略，进一步增强“四个意识”，以“四个全面”战略布局为统领，牢固树立创新、协调、绿色、开放、共享发展理念，坚持以人为本、安全发展，以遏制重特大生产安全事故为核心，深化安全生产体制机制改革，健全安全生产责任体系，强化企业安全生产主体责任，推进依法治安、科技兴安，锻造安监铁军，夯实安全生产基层基础，持续实施安全生产“三三”重点工作，筑牢风险分级管控、隐患排查治理和应急救援三道防线，提升社会整体安全水平，为全面建成小康社会、建设平安岳阳创造良好稳定的安全生产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（二）规划目标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健全七大体系、完善三大系统、深化十个监管、落实八大工程、保证一个为零。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1、七大体系：健全完善的安全生产责任体系、制度法规体系、执法监管体系、应急救援体系、技术支撑体系、安全文化体系、企业安全生产诚信体系。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2、三大系统：安全生产动态监控系统、隐患排查治理系统、应急救援指挥系统。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3、十个监管：深化对非煤矿山、危险化学品、烟花爆竹、道路与水上交通、职业危害防治、消防、建筑施工、特种设备、工贸行业、农业机械等十个方面的监管。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4、八大工程：安全生产监管与应急平台建设工程，区域安全评价工程，应急救援基地建设工程，安全监管方式创新工程，安全生产标准化建设工程，重大隐患治理工程，安全生产培训工程，安全生产示范工程。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5、一个为零：重特大事故为零。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到2020年，实现安全生产与经济社会同步协调发展，为全面建成小康社会提供良好的安全生产环境。</w:t>
                  </w:r>
                </w:p>
                <w:tbl>
                  <w:tblPr>
                    <w:tblW w:w="8055"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80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8055"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“十三五”安全生产指标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生产安全事故起数、生产安全事故死亡人数较“十二五”下降10%；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亿元国内生产总值生产安全事故死亡率较“十二五”下降30%；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工矿商贸就业人员十万人生产安全事故死亡率较“十二五”下降19%；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营运车辆万车死亡率较“十二五”下降6%；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万台特种设备死亡人数较“十二五”下降20%；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新发尘肺病病例年均增长率控制在5%以内。</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三、主要任务与重大举措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（一）健全七大体系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安全生产责任体系。完善各级安全生产组织领导，全面落实安全生产“党政同责、一岗双责、失职追责”制度。完善安全生产控制指标体系，建立区域安全生产状况评价指标体系、重点施工区域和部位安全状况评价指标体系、企业安全管理评价指标体系，充分发挥目标指标的约束和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制度法规体系。全面落实安全生产法律法规和标准规范，严格安全生产监管执法，强化制度约束，真正做到依法准入、依法生产、依法监管。落实相关配套制度建设，制定和完善案件审理、行政处罚备案、行政应诉及行政许可程序等有关工作制度，建立健全重大事故事发地永久警示制度、企业风险实时公告制度、领导干部和企业负责人安全生产实时提醒警示制度。建立安全生产法律法规和标准规范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执法监管体系。建立健全安全生产综合监管执法机构，明确安全生产监管执法职责。一是强化政府监管执法领导责任。二是落实部门监管执法直接责任。组建高素质的安全生产监管执法队伍，形成安全生产监管执法长效机制，严厉查处安全生产违法违章行为。加强计划执法，严格依法行政决策、行政许可、行政处罚，依法执法检查、事故调查。建立安全生产专项整治包干负责制和举报奖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4、应急救援体系。健全和完善应急救援体系建设，实现部门信息集成。加强乡镇应急救援力量的建设，强化应急预案的编制、修订、完善和备案登记工作，加强应急预案演练、应急物资的配备和应急队伍的建设。加强应急管理机构行政体制建设，按照“统一指挥、协同作战、资源共享”的原则，形成以企业应急救援力量为基础，以专业应急救援队伍为中坚力量，以社会救援力量为补充的安全生产应急救援队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5、技术支撑体系。围绕“事前预防、事中控制、事后处理”全过程，强化安全科技创新的支撑保障作用。加强对明令禁止或淘汰的工艺技术装备和产品使用情况的监督检查，加快淘汰不符合安全标准、安全性能低下、职业病危害严重、危及安全生产的工艺技术和装备，提升安全生产保障能力。推动高危行业领域“机械化换人、自动化减人”实施进程，到2020年，矿山、危险化学品、烟花爆竹等重点行业领域基本实现机械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6、安全文化体系。建立安全文艺宣传体系、新闻舆论体系，大力倡导安全文化，为安全生产创造良好的舆论氛围和思想基础。在主流媒体开办安全生产频道或栏目，加大安全生产公益广告、知识技能、案例警示等投放力度。加强公众网络、即时通讯平台等新媒体上安全舆论的引导，规范网上安全生产信息传播秩序。广泛开展各类安全生产宣传教育活动，推动安全知识进企业、进机关、进学校、进社区、进农村、进家庭、进公共场所，增强企业负责人依法办企、领导干部依法治安、社会公众依法护安的意识。开展群众性安全文化活动，推动安全文化示范企业、安全社区、安全发展示范城市等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7、企业安全生产诚信体系。加强企业安全生产诚信制度建设，建立和落实安全生产承诺和诚信报告制度、不良信用记录制度、“黑名单”制度、诚信评价和管理制度、诚信报告和执法信息公示制度。健全失信惩戒制度，完善市场退出机制。加强行业自律和社会监督，把诚信建设纳入各类社会组织章程，制定行业自律规则，完善规范行规行约并监督会员遵守，鼓励和动员新闻媒体、企业员工举报企业安全生产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（二）完善三大系统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安全生产动态监控系统。在全市所有金属非金属地下矿山（含四等及以上尾矿库）、烟花爆竹和危险化学品生产储存企业，京港澳高速公路岳阳段，以及全市重点渡口渡船、“两客一危”车辆、二级以上客运站、危险化学品港口码头罐区，由企业全面建成视频或在线监控系统，并分别接入县、市、省级行业管理平台，由省、市、县三级监管部门实行动态截屏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隐患排查治理系统。建立健全安全生产隐患排查治理制度，启动隐患排查治理管理系统研发，形成省、市、县和企业四级系统。“十三五”期间在非煤矿山、烟花爆竹、危险化学品，以及建筑施工、特种设备、交通运输、有色、轻工、建材、纺织、机械、烟草、贸易等行业的规模以上企业中全面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应急救援指挥系统。充分发挥现有安全生产应急救援移动指挥平台作用，不断完善应急救援基础工作。完成救援物资储备库、应急救援专业队伍、重大救援装备数据库建设。在市本级和全市安全生产任务繁重的县市区布点建设应急救援指挥平台，进一步完善安全生产应急平台应用功能，并与市内道路交通、水上交通、消防等应急管理平台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（三）深化十个监管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非煤矿山。深入开展整顿关闭工作，积极推进资源整合。重点做好平江县、临湘市非煤矿山攻坚克难工作，继续整顿关闭规模小、服务年限短、隐患多的矿山，加大对君山区、华容县、汨罗市的非煤矿山资源整合监管力度。严格执行国家、省规定的最低开采规模，凡达不到最低标准的，一律不予许可。力争“十三五”期末，全市非煤矿山企业总数在2015年的基数上减少30%，强制淘汰国家明令禁止的设备和工艺，淘汰率100%；采石场分台阶（分层）开采率、机械铲装率、中深孔爆破采用率应达到100%；通风系统和提升运输系统不合格的矿井整改率达100%；尾矿库运行良好率100%，且汛期不发生溃坝、泄漏等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2、危险化学品。推进危险化学品“园区化、规模化、自动化、标准化、信息化”建设。报省安监局备案的化工园区，逐步建成安全监控平台。加强化工过程管理，淘汰危及生产安全的工艺和设备，淘汰率达到100%。全面持续开展油气管道等危险物品输送管道隐患、罐区隐患攻坚战，逐步要求企业将输送管道移入“危化油气管道走廊”。合理布局危险化学品运输线路，进一步规范危险化学品运输。根据湖南省“十三五”期间在岳阳建立危险化学品集中交易市场的布局规划，积极配合建立云溪区化工集中交易市场及配套危险化学品专门储存区。开展“两重点一重大”在役装置自动化控制改造和“十三五”期间全部实现自动化控制。继续推广危险与可操作性分析（HAZOP），进行在役装置安全诊断，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3、烟花爆竹。大力推动烟花爆竹生产企业产业转型升级，提高烟花爆竹机械化生产水平。推广应用烟花爆竹混药、装药、组装机械一体化的成熟整装生产系统，实现人药分离。实现生产环节实时监控，重点产品和烟火药流向全程监控。禁止烟花爆竹企业生产药物敏感度高、药量大、燃放无固定轨迹等危险性大的产品。按照分级负责原则，持续开展烟花爆竹从业人员和监管人员全员培训。严格行政许可，严格落实三个“一律”，五年内不再新增烟花爆竹生产企业，停止审批改建、扩建项目，总量比“十二五”期末减少至45家。鼓励烟花爆竹生产企业依法有序退出，到“十三五”期末，全市非主生产区烟花爆竹生产企业全部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4、道路与水上交通。加快推进普通公路安保工程,全面治理存在安全隐患的普通公路，持续改善道路安全通行条件。大力推动公路客运、旅游客运、危险化学品运输“两客一危”车辆和校车动态监控平台建设，督促企业落实安全主体责任，确保重点车辆交通安全。大力推进治理车辆超限超载工作，持续重点开展路面治理、车辆和货物源头治理、城区治理、工程建设领域治理，进一步规范道路交通运输市场秩序。建立水上事故调处中心,持续开展河道采运砂水上联合执法工作，推进渡口、码头和客渡船标准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5、职业危害防治。以矿山开采、危险化学品、烟花爆竹、冶金、建材和家具制造等行业为重点，开展粉尘危害和有毒有害等职业危害严重的用人单位的专项治理。不断健全安监网络，提高监管能力，加强对中小企业职业卫生监管。到2020年，全市用人单位职业病危害项目申报率达到100%，工作场所职业病危害告知率和警示标识设置率达到100%，工作场所职业病危害因素监测率达到95%以上，职业病防治的监督覆盖率达到95%以上，严重职业病危害案件查处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6、消防。加快消防基础设施建设速度。按照国家《城市消防站建设标准》和岳阳市消防队站建设规划要求，加快推进队站建设步伐，十三五期间，大力解决消防队（站）欠帐问题。不断夯实消防装备建设基础，积极优化装备配备结构，切实加强消防装备专业化建设，加强全市装备资源共享，努力提升消防装备管理水平。推进训练基地建设，主要承担各种模拟训练、应急救援模拟训练、消防官兵业务培训、社会面消防培训和全民消防宣传教育等多种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7、建筑施工。进一步开展建筑施工安全生产标准化考评工作，力争建筑施工安全生产标准化企业考评合格率达到80%以上，优良率达40%以上，扎实开展建筑施工安全生产标准化项目考评工作，力争项目考评合格率达到95%以上，优良率达60%以上。重点开展建筑工程项目危险性较大的支模架、脚手架、起重机械、深基坑、临边防护、施工用电等关键环节和监理企业、商品混凝土企业、保障性住房、施工扬尘污染的专项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8、特种设备。健全全市特种设备数据库，加强对使用环节的日常监督检查，抓好监管体系建设。加强锅炉、压力容器、压力管道、电梯、起重机械、客运索道、大型游乐设施和场(厂)内专用机动车辆的生产、经营、检验环节监督检查，重点领域是气瓶充装、油气管道、电梯等。不断完善电梯应急处置平台建设，充分运用物联网远程监测系统等成熟技术为安全监管工作服务，推广电梯物联网远程监测系统，对电梯故障和事故形成多级响应，及时进行处置和救援，将人身伤害降到最低，提高整个城市应对电梯突发事件的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9、工贸行业。督促企业建立健全隐患排查机制、整改机制、记录机制和报告机制，注重标本兼治，把专项整治与推动企业安全生产标准化建设、隐患排查治理体系建设、诚信体系建设等各项工作结合起来，强化企业安全生产基础建设。持续开展专项整治，深入开展粉尘防爆、涉氨制冷和有限空间作业场所安全生产和职业卫生专项整治，依法治安，创新方式，狠抓落实，促进全市工贸行业安全生产形势根本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10、农业机械。深入推进“平安农机”创建，按照安全生产属地管理原则，落实县乡政府、村级组织及农机合作社、农机销售维修网点等农机经营服务组织的安全生产主体责任，着重加强对农机合作社的安全生产监管与指导，将农机合作社纳入“平安农机”创建的重点。全面开展农机安全互助保险业务，集千家之力解一家之难，形成农民之间互助互保，抗御灾害和减少事故损失，维护安全生产和社会安定。加强部门配合，开展联合执法，建立农机安全监管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四、重点工程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（一）安全生产监管与应急平台建设工程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依靠现代信息技术手段，围绕各级安全监管机构、企业、中介机构、安委会成员单位、社会公众五类对象，为全市各级安全监管机构提供监管和应急管理服务，满足常态下和非常态下工作需要；为全市企业提供安全管理服务，搭建企业与安全监管机构之间的沟通渠道；为安委会成员单位提供互联互通服务，实现成员单位的信息共享、联合执法和协同处置；为社会公众提供安全信息服务，满足资讯浏览、信息查询、知识学习、举报投诉和互动交流等需求，充分发挥群众参与安全工作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到2020年基本实现安全生产工作“五化”，即日常行政办公无纸化（移动化）、业务申报办理网络化、信息资源数据共享化、危险隐患监控智能化、管理决策分析科学化，实现“来源可查、去向可追、责任可究、规律可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（二）区域安全评价工程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借鉴国内经济发达地区安全环境区域评价经验，按照安全系统工程原理，对各县市区的整体安全生产条件和安全管理现状，运用科学的评价方法进行评估。对区域内存在的危险性、有害性进行定性、定量分析，提出整个区域存在的隐患，促进区域的本质安全和整体安全管理水平的不断提高，同时为安全生产监督管理部门开展安全生产监督工作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（三）应急救援基地建设工程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持续加强应急救援队伍建设，积极向国家安监总局争取，将巴陵石化危险化学品应急救援基地纳入国家级基地建设，引入社会资本，加强平江矿山应急救援基地建设，提高岳阳市的事故预警和应急救援能力。立项建设岳阳市水上交通安全事故（险情）应急救援基地，纳入市财政预算，提高我市水上交通安全事故预警与应急救援能力。对我市经济健康发展、社会和谐稳定，发挥重要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（四）安全监管方式创新工程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充分发挥专家和中介机构在安全生产专项整治中的作用，研究探索政府购买服务的方式，积极组织开展安全咨询、专项检查、业务培训，宣传教育等技术服务。强力推行安全生产技术服务工作，使非高危企业安全生产基础、安全管理水平和安全保障能力得到明显加强，有效保护广大企业的合法权益。引导企业利用安全中介机构的专业技术力量,规范其安全生产行为，落实企业安全生产主体责任，不断改善安全生产条件，逐步构建企业自我约束、自我完善、持续改进的安全管理长效机制，提高本质安全。大力推动注册安全工程师事务所的建立，发挥注册安全工程师的技术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（五）安全生产标准化达标工程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把企业安全标准化建设与市场准入、评优评先等工作相结合，本着“统筹规划、突出重点、分步实施、强力推进”的原则，督促企业严格按照安全生产法律法规规定，加大安全投入，强化安全硬件管理，实现生产工序、安保设施、安全管理、安全操作、危险部位监管标准化，做到全员、全过程、全方位的科学化、规范化安全管理。开展非煤矿山、危险化学品、烟花爆竹生产企业及冶金等高危行业安全生产标准化的复审工作，推动轻工、纺织、机械等工矿商贸行业（领域）规模以上企业在“十三五”期间全面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（六）重大隐患治理工程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建立健全安全生产隐患治理制度，强化重大事故隐患挂牌督办，实现事故隐患自查、自报、自改的闭环管理，建立“事故隐患整改不落实责任追究制度”，严防事故发生；深入开展以危险化学品和烟花爆竹为重点的专项整治；深化油气输送管道、罐区隐患整改；继续抓好非煤矿山和尾矿库、道路水上交通、建筑施工、涉爆粉尘、消防和危险化学品生产经营、物流运输、储存使用等重点行业领域安全治理，落实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（七）安全生产培训工程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大力推进企业从业人员培训，进一步加强企业培训监督检查，充分利用现有资源，积极探索安全培训新形式，切实加强安全培训机构的监督管理。加快特种作业实操培训考试基地建设，在湖南石油化工职业技术学院建立危险化学品特种作业人员实际操作培训考试基地，在岳阳工业技术学院建立电工作业、焊接与热切割作业、高处作业、制冷与空调作业等工种的特种作业人员实际操作综合考试培训基地，在平江职业技术学院建立金属非金属矿山特种作业人员实际操作培训考试基地。在湖南石油化工职业技术学院建立安全生产应急救援培训演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（八）安全生产示范工程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按照《湖南省安全生产示范创建管理办法》（湘政办发〔2014〕82号）和《湖南省安全生产示范乡镇验收考核细则》（湘安办﹝2014﹞15号）规定的标准和要求，围绕安全生产“四大三基”行动计划，着力推进“三三”重点工作，指导乡镇制订切实可行的创建活动方案，帮助和指导乡镇创新安全生产监管方式，扎实做好日常安全监管。深化安全生产示范乡镇和示范县、示范企业、示范社区、示范村组、示范工地、安全社区等创建活动。通过开展创建活动，进一步强化基层安全生产意识，提升基层安全管理水平。力争“十三五”末，省级安全生产示范乡镇和市级安全生产示范乡镇数量在现有基础上增加30%，创建省级示范县2个，省级示范企业5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各级各有关部门要高度重视，加强部门安全生产监管与执法能力建设，切实加强安全生产“十三五”规划的推进，将安全生产纳入经济社会发展的总体布局，实现安全生产与经济社会协调发展。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（二）严格责任追究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强化企业生产过程管理领导责任，严格落实企业负责人带班制度。建立健全安全生产“一票否决”机制。实行企业负责人事故任职资格终身否决制度。严格执行重大生产安全事故责任追究制度。把安全生产目标纳入地方政府政绩考核指标体系，完善各级政府领导干部安全生产“一岗双责”责任制，重点落实县、乡两级政府安全责任。进一步完善安全生产控制考核指标体系，建立健全月通报、季发布、年考核制度，完善安全生产奖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（三）加大安全投入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各级财政每年要安排一定比例的基本建设投资，重点对列入“十三五”规划的安全生产重大工程项目予以支持。建立安全生产责任保险制度，企业建立工伤保险与事故预防相结合机制。完善企业安全生产费用提取和使用管理制度。落实事故伤亡赔付制度。建立完善应急救援补偿机制。依法加强道路交通事故社会救助基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（四）规范法治秩序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贯彻落实《中华人民共和国安全生产法》，进一步完善和落实安委会议事、部门联席会议、联合执法、隐患排查治理、重大危险源监控、事故约谈、事故和隐患举报等制度。完善严格执法的体制机制，规范行政执法自由裁量基准和程序。建立对执法效果的跟踪反馈和评估制度。健全安全生产行政执法责任制度，强化联合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（五）强化科技兴安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实施科技兴安战略，出台安全科技研发、推广和应用的政策措施，整合安全生产优势科技资源，壮大安全生产技术支撑体系，实施重大事故风险防控和应急处置科技攻关，建立安全生产科技应用示范工程。建立完善市、县两级安全生产专家队伍，加强高层次安全专业人才队伍建设。加大专业人才培养力度，大力发展安全生产职业技术教育，鼓励和支持企业办好技工学校，加快培养高危行业专业人才和生产一线急需技能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（六）加强舆论监督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21"/>
                      <w:szCs w:val="21"/>
                      <w:bdr w:val="none" w:color="auto" w:sz="0" w:space="0"/>
                    </w:rPr>
                    <w:t>依法维护和落实企业职工对安全生产的参与权和监督权。畅通安全生产社会监督渠道，发挥新闻媒体的舆论监督作用，对舆论反映的热点问题进行跟踪调查，及时整改。鼓励单位和个人监督举报安全隐患和各种安全生产非法违法行为。</w:t>
                  </w:r>
                </w:p>
                <w:p>
                  <w:pPr>
                    <w:keepNext w:val="0"/>
                    <w:keepLines w:val="0"/>
                    <w:widowControl/>
                    <w:suppressLineNumbers w:val="0"/>
                    <w:jc w:val="left"/>
                  </w:pP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附表：                     岳阳市安全生产“十三五”规划重大项目表</w:t>
                  </w:r>
                </w:p>
                <w:tbl>
                  <w:tblPr>
                    <w:tblW w:w="8286"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594"/>
                    <w:gridCol w:w="594"/>
                    <w:gridCol w:w="660"/>
                    <w:gridCol w:w="594"/>
                    <w:gridCol w:w="754"/>
                    <w:gridCol w:w="594"/>
                    <w:gridCol w:w="594"/>
                    <w:gridCol w:w="594"/>
                    <w:gridCol w:w="1226"/>
                    <w:gridCol w:w="1041"/>
                    <w:gridCol w:w="10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序号</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分类</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项目名称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所在地</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建设内容</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单位</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参与单位</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项目属性</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建设年限</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总投资</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“十三五”计划投资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w:t>
                        </w:r>
                      </w:p>
                    </w:tc>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安全生产培训工程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湖南石油化工职业学院危险化学品特种作业人员实际操作培训考试基地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项目内容有：危险化学品作业安全技术实操考试系统、消防演练与个人防护实训系统、灾害场景模拟体验系统。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考点建设分为二期。第一期在2015年年底完成，第二期在2017年完成，建成后可为湖南省提供危险化学品安全作业人员实操培训考核，也可为化工类职业院校学生提供生产实习实训考核。培训规模预计可达30000人次/年。</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湖南省安监局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湖南省安监局、岳阳市安监局、湖南石油化工职业技术学院</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2015-2017</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1500万元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1500万元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岳阳工业技术学院电工作业、焊接与热切割作业、高处作业、制冷与空调作业等工种的特种作业人员实际操作综合考试培训基地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项目内容有：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1、安全警示教育基地。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2、特种作业实际操作培训考试基地。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湖南省安监局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湖南省安监局、岳阳市安监局、岳阳工业技术学院</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2015-2017</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397.8万元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397.8万元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平江职业技术学院金属非金属矿山特种作业人员实际操作培训考试基地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设立尾矿作业、金属非金属矿井通风作业、金属非金属矿山井下电气作业、金属非金属矿山排水作业、金属非金属矿山提升机操作作业、金属非金属矿山支柱作业、金属非金属矿山爆破作业等特种作业安全技术考试点，为安全特种工人员提供培训，每年培训人数约为1500人。</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岳阳市安监局、平江职业技术学院</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2015-2018</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800万元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800万元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湖南石油化工职业技术学院安全生产应急救援培训演练基地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项目内容有：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1、炼油化工生产装置应急救援仿真培训系统；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2、实物仿真炼化装置应急救援演练系统；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3、三维数字化仿真工厂应急救援演练系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4、危险化学品作业安全技术实操考试系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5、消防演练与个人防护实训系统；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6、有害物检测与环境检测实训系统；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7、灾害场境模拟体验系统。项目第一期2016年底完成，第二期2017年底完成。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第一期完成后培训规模预计可达40000人次/年，第二期完成后培训规模预计可达100000人次/年。</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国家安监总局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国家安监总局、湖南省安监局、岳阳市安监局、湖南石油化工职业技术学院</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2012-2017</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3700万元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3700万元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消防综合训练基地建设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模拟训练基地建设按同时能培训管理人员50人，培训干部50人，战士100人，社会从事人员200人，即能同时保障400至500人的工作、培训、执勤、生活需求。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主要承担各种模拟训练、应急救援模拟训练、消防官兵业务培训、社会面消防培训和全民消防宣传教育等多种职能。</w:t>
                        </w:r>
                      </w:p>
                    </w:tc>
                    <w:tc>
                      <w:tcPr>
                        <w:tcW w:w="594"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消防支队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消防支队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6744万元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6744万元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w:t>
                        </w:r>
                      </w:p>
                    </w:tc>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安全生产示范工程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安全生产示范县、岳阳市安全生产示范乡镇、示范工业园区、安全生产文化建设示范企业创建工程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力争“十三五”末，省级安全生产示范乡镇和市级安全生产示范乡镇数量在现有基础上增加30%，创建省级示范县2个，省级示范企业5家以上。</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各县市区安监局、各企业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“平安农机”创建工程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深入推进“平安农机“创建，按照安全生产属地管理原则，落实县乡政府、村级组织及农机合作社、农机销售维修网点等农机经营服务组织的安全生产主体责任，着重加强对农机合作社的安全生产监管与指导，将农机合作社纳入“平安农机”创建的重点。</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市农机局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各县市区农机局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2000万元（其中市级财政安排200万元）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安全生产社区建设工程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发挥政府对安全生产的引导作用，积极开展社区安全文化建设，将社区安全生产与自然灾害、社区治安、公共卫生等事故预防体系建设和应急救援体系建设相结合，建立全员参与机制、社区应急联动机制和社区安全保障体系。</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各县市区安监局、各社区</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建筑施工安全质量标准化示范工程、标准化示范工地创建工程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根据《湖南省建筑施工安全生产标准化考评实施细则》，扎实做好考评工作，促进我市建筑施工企业创建标准化考评优良工地和优良企业。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市住建局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各县市区住建局、各施工企业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w:t>
                        </w:r>
                      </w:p>
                    </w:tc>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安全生产标准化工程</w:t>
                        </w:r>
                      </w:p>
                    </w:tc>
                    <w:tc>
                      <w:tcPr>
                        <w:tcW w:w="66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岳阳市安全生产标准化达标工程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非煤矿山、危险化学品、烟花爆竹新建企业标准化100%达标。推动冶金、机械等工矿商贸行业（领域）规模以上企业在“十三五”期间全面达标。</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市安监局、各县市区安监局、各企业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按照省交通厅关于标准化建设相关要求，结合我市实际，将继续扎实推进企业安全生产标准化建设作为“十三五”的重点工作来抓，旨在全力提升企业本质安全生产水平和能力。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“十三五”期间实现客运和危险货物运输领域达标全覆盖，其他领域达标基本覆盖。</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市交通运输局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市交通运输局、各县市区交通运输局、各企业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根据省住建厅关于标准化建设的要求，进一步推进建筑施工企业安全质量标准化管理工作，科学评价建筑施工企业安全生产条件和能力，促进全市建筑施工安全生产水平提高。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争取“十三五”期间，实现所有建筑施工企业全部达到建筑施工安全生产标准化企业考评合格以上水平。</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市住建局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市住建局、各县市区住建局、各施工企业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根据水利部关于加快推进水利安全生产标准化建设工作的通知要求，进一步推进农村水电站和水利生产经营单位安全生产标准化建设，促进全市水利安全生产水平提高，争取到十三五期末，全市128家农村水电站和部分生产经营单位达标。</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市水务局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市水务局各各县市区水利（水务）局、各农村水电站，有关水利生产经营单位</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1800万元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1800万元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海事标准化建设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渡口、码头和客渡船标准化建设，完成44道渡口码头标准化改造；建造标准客渡船200余艘。</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4</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区域性安全评价工程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各县市区的区域性安全评价工程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按照安全系统工程原理，对各县市区的整体安全生产条件和安全管理现状，运用科学的评价方法进行评估。对区域内存在的危险性、有害性进行定性、定量分析，提出整个区域存在的隐患，促进区域的本质安全和整体安全管理水平不断提高，同时为安全生产监督管理部门开展安全生产监督工作提供依据。</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900万</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900万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重大隐患治理工程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油气管道隐患整治治理项目</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深入开展油气管道等危险物品输送管道隐患整治攻坚战，按照“谁主管、谁负责，分门别类、突出重点，依法依规，标本兼治”的原则，集中力量开展管道隐患整治攻坚战，扎实做好危险物品输送管道安全隐患整改工作；打击破坏损害管道及其附属设施行为，整治管道周边乱建乱挖乱钻和压力管道超期未检等问题；进一步完善管道保护和管理机制体制。</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市安监局、市发改委</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各县市区安监局、相关企业</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2015-2017</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60000万元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60000万元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职业危害防治工程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岳阳市粉尘、高毒、重金属防治工程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开展职业危害状况普查，加强职业健康信息管理。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以防治矿工尘肺、矽肺、石棉肺为重点，实施粉尘危害综合治理工程。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以防治高毒物质与重金属职业危害为重点，实施苯、甲醛等高毒物质和铅、镉等重金属重大职业危害因素防范治理工程。</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100万</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100万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7</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安全执法能力设工程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交通安全执法服务站建设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按照《岳阳市公路交通安全防控体系建设规划要求》，全市规划建设8个交通安全执法服务站，分别为107国道临湘羊楼司执法站、107国道岳阳县新墙执法站、107国道汨罗弼时执法站、102省道湘阴金龙执法站、203省道华容万庾执法站、306省道君山洞庭湖大桥执法站、308省道平江长寿执法站、京港澳高速岳阳连接线乌江执法站。</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交警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支队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各县市区交警大队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2016—2018</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2800万</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2800万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8</w:t>
                        </w:r>
                      </w:p>
                    </w:tc>
                    <w:tc>
                      <w:tcPr>
                        <w:tcW w:w="594"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应急 能力 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工程</w:t>
                        </w: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国家危险化学品应急救援巴陵石化基地建设项目</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建设内容包括：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1、应急救援指挥总部(综合大楼、应急救援指挥中心技术平台建设、事故监控系统建设、应急救援基础数据库建设、应急通讯系统建设)；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2、消气防应急救援中心（应急救援队伍库室、生活服务中心楼、多功能训练汇演场、应急设备配备等），组建消、气防站、工程技术站、医疗救护站、环境监测站、应急救援分站；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3、应急救援培训中心（教学楼、应急救援模拟平台、多功能训练塔、观礼台、拓展训练基地、室内多功能训练场、其他配套设施等）。</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市安监局、巴陵石化</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2016-2018</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30000万元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22000万元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岳阳市安全生产监管与应急平台建设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建设内容包括：信息资源与数据库、综合应用平台（安全监管体系建设包括：协同办公系统、许可备案管理系统、安全培训考试系统、行政执法管理系统、隐患排查治理系统、职业卫生监管系统、数据挖掘与分析系统；应急救援体系建设包括：应急业务综合管理系统、应急救援指挥系统、安全动态监管系统、事故上报与管理系统、应急模拟演练系统。）数据中心、中心机房、应急指挥场所、应急通信系统、移动应急平台等。</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各县市区安监局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2016-2019</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消防队站建设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按照国家《城市消防站建设标准》和岳阳市城市消防发展规划的要求，“十三五”期间，共计划新建消防站4个，分别为湘阴二站、平江二站、屈原消防站和湖滨消防站。</w:t>
                        </w:r>
                      </w:p>
                    </w:tc>
                    <w:tc>
                      <w:tcPr>
                        <w:tcW w:w="594"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消防支队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消防支队</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8466万元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8466万元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公路水路安全畅通与应急管理指挥中心</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建设内容包括：车载移动和前端视频监控终端、通信调度系统及相关软硬件。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项目实施后实现全市交通运输行业全部业务领域全面涵盖，为全市各种运输方式的统一调度提供信息支撑。</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市交通运输局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市交通运输局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2015-2019</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1888万元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1888万元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电梯应急处置服务平台建设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建设内容有：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1、指挥中心建设，包括控制室、设备等；2、电梯物联网监控系统；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3、应急处置中心由六人组成，负责组织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和指导全市电梯困人故障后应急救援，调查处理电梯投诉和相关质量安全咨询等，24小时值守。</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市质监局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市质监局、岳阳市电梯协会、各电梯使用单位</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新建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海事安全紧急避险和港区锚地建设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重点推进安全紧急避险和港区锚地建设，建成岳阳市水上监管救助基地。</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2016-2020</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5000万元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海事视频监控系统建设</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岳阳市</w:t>
                        </w: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pPr>
                        <w:r>
                          <w:rPr>
                            <w:sz w:val="18"/>
                            <w:szCs w:val="18"/>
                            <w:bdr w:val="none" w:color="auto" w:sz="0" w:space="0"/>
                          </w:rPr>
                          <w:t>升级视频监控系统，实现重点航段和城区水域全覆盖，并在此基础上建设电子巡航，实现水上交通安全监管。</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地方海事局</w:t>
                        </w: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续建</w:t>
                        </w: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2015-2018</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600万元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600万元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59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总计</w:t>
                        </w:r>
                      </w:p>
                    </w:tc>
                    <w:tc>
                      <w:tcPr>
                        <w:tcW w:w="594"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宋体"/>
                            <w:sz w:val="18"/>
                            <w:szCs w:val="18"/>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754"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594"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122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18"/>
                            <w:szCs w:val="18"/>
                          </w:rPr>
                        </w:pP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pPr>
                        <w:r>
                          <w:rPr>
                            <w:sz w:val="18"/>
                            <w:szCs w:val="18"/>
                            <w:bdr w:val="none" w:color="auto" w:sz="0" w:space="0"/>
                          </w:rPr>
                          <w:t>169695.8万元</w:t>
                        </w:r>
                      </w:p>
                    </w:tc>
                    <w:tc>
                      <w:tcPr>
                        <w:tcW w:w="1041"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pPr>
                        <w:r>
                          <w:rPr>
                            <w:sz w:val="18"/>
                            <w:szCs w:val="18"/>
                            <w:bdr w:val="none" w:color="auto" w:sz="0" w:space="0"/>
                          </w:rPr>
                          <w:t>161695.8万元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 w:lineRule="atLeast"/>
                    <w:ind w:left="0" w:right="0" w:firstLine="420"/>
                    <w:jc w:val="left"/>
                  </w:pPr>
                </w:p>
              </w:tc>
            </w:tr>
          </w:tbl>
          <w:p>
            <w:pPr>
              <w:spacing w:before="0" w:beforeAutospacing="0" w:after="0" w:afterAutospacing="0" w:line="33" w:lineRule="atLeast"/>
              <w:ind w:left="0" w:right="0" w:firstLine="420"/>
              <w:jc w:val="left"/>
              <w:rPr>
                <w:rFonts w:hint="eastAsia" w:ascii="宋体" w:hAnsi="宋体" w:eastAsia="宋体" w:cs="宋体"/>
                <w:b w:val="0"/>
                <w:i w:val="0"/>
                <w:caps w:val="0"/>
                <w:color w:val="000000"/>
                <w:spacing w:val="0"/>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A5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2017-07-05T08:00:04Z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